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0A7" w14:textId="77777777" w:rsidR="00733390" w:rsidRPr="00031F4D" w:rsidRDefault="00733390" w:rsidP="00733390">
      <w:pPr>
        <w:rPr>
          <w:rFonts w:asciiTheme="majorHAnsi" w:hAnsiTheme="majorHAnsi" w:cstheme="majorHAnsi"/>
          <w:b/>
          <w:color w:val="0191AC"/>
        </w:rPr>
      </w:pPr>
      <w:r w:rsidRPr="00031F4D">
        <w:rPr>
          <w:rFonts w:asciiTheme="majorHAnsi" w:hAnsiTheme="majorHAnsi" w:cstheme="majorHAnsi"/>
          <w:b/>
          <w:color w:val="0191AC"/>
        </w:rPr>
        <w:t>Overview of EQ-Arts Standards and Criteria</w:t>
      </w:r>
    </w:p>
    <w:tbl>
      <w:tblPr>
        <w:tblStyle w:val="TableGrid"/>
        <w:tblW w:w="0" w:type="auto"/>
        <w:tblBorders>
          <w:top w:val="single" w:sz="12" w:space="0" w:color="85B6C2"/>
          <w:left w:val="single" w:sz="12" w:space="0" w:color="85B6C2"/>
          <w:bottom w:val="single" w:sz="12" w:space="0" w:color="85B6C2"/>
          <w:right w:val="single" w:sz="12" w:space="0" w:color="85B6C2"/>
          <w:insideH w:val="single" w:sz="12" w:space="0" w:color="85B6C2"/>
          <w:insideV w:val="single" w:sz="12" w:space="0" w:color="85B6C2"/>
        </w:tblBorders>
        <w:tblLook w:val="04A0" w:firstRow="1" w:lastRow="0" w:firstColumn="1" w:lastColumn="0" w:noHBand="0" w:noVBand="1"/>
      </w:tblPr>
      <w:tblGrid>
        <w:gridCol w:w="2967"/>
        <w:gridCol w:w="6029"/>
      </w:tblGrid>
      <w:tr w:rsidR="00733390" w:rsidRPr="00031F4D" w14:paraId="2D690307" w14:textId="77777777" w:rsidTr="00AA25F7">
        <w:tc>
          <w:tcPr>
            <w:tcW w:w="2967" w:type="dxa"/>
            <w:shd w:val="clear" w:color="auto" w:fill="85B6C2"/>
          </w:tcPr>
          <w:p w14:paraId="37E308AD" w14:textId="77777777" w:rsidR="00733390" w:rsidRPr="00031F4D" w:rsidRDefault="00733390" w:rsidP="00D55D6A">
            <w:pPr>
              <w:rPr>
                <w:rFonts w:asciiTheme="majorHAnsi" w:hAnsiTheme="majorHAnsi" w:cstheme="majorHAnsi"/>
                <w:lang w:val="en-GB"/>
              </w:rPr>
            </w:pPr>
            <w:r w:rsidRPr="00031F4D">
              <w:rPr>
                <w:rFonts w:asciiTheme="majorHAnsi" w:hAnsiTheme="majorHAnsi" w:cstheme="majorHAnsi"/>
                <w:b/>
                <w:color w:val="FFFFFF" w:themeColor="background1"/>
                <w:lang w:val="en-GB"/>
              </w:rPr>
              <w:t>EQ-Arts Standards</w:t>
            </w:r>
          </w:p>
        </w:tc>
        <w:tc>
          <w:tcPr>
            <w:tcW w:w="6029" w:type="dxa"/>
            <w:shd w:val="clear" w:color="auto" w:fill="85B6C2"/>
          </w:tcPr>
          <w:p w14:paraId="1BD09ECE" w14:textId="77777777" w:rsidR="00733390" w:rsidRPr="00031F4D" w:rsidRDefault="00733390" w:rsidP="00D55D6A">
            <w:pPr>
              <w:rPr>
                <w:rFonts w:asciiTheme="majorHAnsi" w:hAnsiTheme="majorHAnsi" w:cstheme="majorHAnsi"/>
                <w:lang w:val="en-GB"/>
              </w:rPr>
            </w:pPr>
            <w:r w:rsidRPr="00031F4D">
              <w:rPr>
                <w:rFonts w:asciiTheme="majorHAnsi" w:hAnsiTheme="majorHAnsi" w:cstheme="majorHAnsi"/>
                <w:b/>
                <w:color w:val="FFFFFF" w:themeColor="background1"/>
                <w:lang w:val="en-GB"/>
              </w:rPr>
              <w:t>Criteria</w:t>
            </w:r>
          </w:p>
        </w:tc>
      </w:tr>
      <w:tr w:rsidR="00AA25F7" w:rsidRPr="00031F4D" w14:paraId="34DF6C3C" w14:textId="77777777" w:rsidTr="00AA25F7">
        <w:tc>
          <w:tcPr>
            <w:tcW w:w="2967" w:type="dxa"/>
            <w:vMerge w:val="restart"/>
          </w:tcPr>
          <w:p w14:paraId="72D44B25" w14:textId="77777777" w:rsidR="00031F4D" w:rsidRPr="00031F4D" w:rsidRDefault="00031F4D" w:rsidP="00031F4D">
            <w:pPr>
              <w:spacing w:after="0" w:line="240" w:lineRule="auto"/>
              <w:rPr>
                <w:rFonts w:asciiTheme="majorHAnsi" w:hAnsiTheme="majorHAnsi" w:cstheme="majorHAnsi"/>
                <w:b/>
                <w:bCs/>
                <w:color w:val="0191AC"/>
                <w:lang w:val="en-GB"/>
              </w:rPr>
            </w:pPr>
            <w:r w:rsidRPr="00031F4D">
              <w:rPr>
                <w:rFonts w:asciiTheme="majorHAnsi" w:hAnsiTheme="majorHAnsi" w:cstheme="majorHAnsi"/>
                <w:b/>
                <w:bCs/>
                <w:color w:val="0191AC"/>
                <w:lang w:val="en-GB"/>
              </w:rPr>
              <w:t xml:space="preserve">1. Quality Assurance Policy </w:t>
            </w:r>
          </w:p>
          <w:p w14:paraId="5553BE21" w14:textId="77777777" w:rsidR="00031F4D" w:rsidRPr="00031F4D" w:rsidRDefault="00031F4D" w:rsidP="00031F4D">
            <w:pPr>
              <w:spacing w:after="0" w:line="240" w:lineRule="auto"/>
              <w:rPr>
                <w:rFonts w:asciiTheme="majorHAnsi" w:hAnsiTheme="majorHAnsi" w:cstheme="majorHAnsi"/>
                <w:b/>
                <w:bCs/>
                <w:color w:val="0191AC"/>
                <w:lang w:val="en-GB"/>
              </w:rPr>
            </w:pPr>
          </w:p>
          <w:p w14:paraId="08B1E337" w14:textId="77777777" w:rsidR="00031F4D" w:rsidRPr="00031F4D" w:rsidRDefault="00031F4D" w:rsidP="00031F4D">
            <w:pPr>
              <w:pStyle w:val="ListParagraph"/>
              <w:spacing w:after="0" w:line="240" w:lineRule="auto"/>
              <w:ind w:left="164" w:hanging="164"/>
              <w:rPr>
                <w:rFonts w:asciiTheme="majorHAnsi" w:hAnsiTheme="majorHAnsi" w:cstheme="majorHAnsi"/>
                <w:bCs/>
                <w:color w:val="88B9C6"/>
                <w:lang w:val="en-GB"/>
              </w:rPr>
            </w:pPr>
            <w:r w:rsidRPr="00031F4D">
              <w:rPr>
                <w:rFonts w:asciiTheme="majorHAnsi" w:hAnsiTheme="majorHAnsi" w:cstheme="majorHAnsi"/>
                <w:bCs/>
                <w:color w:val="FF0000"/>
                <w:lang w:val="en-GB"/>
              </w:rPr>
              <w:t xml:space="preserve">   </w:t>
            </w:r>
            <w:r w:rsidRPr="00031F4D">
              <w:rPr>
                <w:rFonts w:asciiTheme="majorHAnsi" w:hAnsiTheme="majorHAnsi" w:cstheme="majorHAnsi"/>
                <w:bCs/>
                <w:color w:val="88B9C6"/>
                <w:lang w:val="en-GB"/>
              </w:rPr>
              <w:t xml:space="preserve">The institution’s mission, strategic plan, and policies for learning &amp; teaching and research effectively align with, and are developed and enhanced by, its policy for quality assurance that actively fosters a quality culture. </w:t>
            </w:r>
          </w:p>
          <w:p w14:paraId="6E2FB422" w14:textId="77777777" w:rsidR="00AA25F7" w:rsidRPr="00031F4D" w:rsidRDefault="00AA25F7" w:rsidP="00AA25F7">
            <w:pPr>
              <w:rPr>
                <w:rFonts w:asciiTheme="majorHAnsi" w:hAnsiTheme="majorHAnsi" w:cstheme="majorHAnsi"/>
                <w:lang w:val="en-GB"/>
              </w:rPr>
            </w:pPr>
          </w:p>
          <w:p w14:paraId="67015DE2" w14:textId="77777777" w:rsidR="00AA25F7" w:rsidRPr="00031F4D" w:rsidRDefault="00AA25F7" w:rsidP="00AA25F7">
            <w:pPr>
              <w:rPr>
                <w:rFonts w:asciiTheme="majorHAnsi" w:hAnsiTheme="majorHAnsi" w:cstheme="majorHAnsi"/>
                <w:lang w:val="en-GB"/>
              </w:rPr>
            </w:pPr>
          </w:p>
        </w:tc>
        <w:tc>
          <w:tcPr>
            <w:tcW w:w="6029" w:type="dxa"/>
          </w:tcPr>
          <w:p w14:paraId="3A7BA7C1" w14:textId="36FBCF62" w:rsidR="00AA25F7" w:rsidRPr="00217D4D" w:rsidRDefault="00AA25F7" w:rsidP="00217D4D">
            <w:pPr>
              <w:pStyle w:val="ListParagraph"/>
              <w:numPr>
                <w:ilvl w:val="1"/>
                <w:numId w:val="3"/>
              </w:numPr>
              <w:spacing w:after="0" w:line="240" w:lineRule="auto"/>
              <w:rPr>
                <w:rFonts w:asciiTheme="majorHAnsi" w:hAnsiTheme="majorHAnsi" w:cstheme="majorHAnsi"/>
                <w:lang w:val="en-GB"/>
              </w:rPr>
            </w:pPr>
            <w:r w:rsidRPr="00217D4D">
              <w:rPr>
                <w:rFonts w:asciiTheme="majorHAnsi" w:hAnsiTheme="majorHAnsi" w:cstheme="majorHAnsi"/>
                <w:bCs/>
                <w:color w:val="0191AC"/>
              </w:rPr>
              <w:t>The QA policy is clearly inspired by and linked with the institution’s mission, strategy, and policies for learning &amp; teaching and research</w:t>
            </w:r>
          </w:p>
        </w:tc>
      </w:tr>
      <w:tr w:rsidR="00AA25F7" w:rsidRPr="00031F4D" w14:paraId="281D53BE" w14:textId="77777777" w:rsidTr="00AA25F7">
        <w:tc>
          <w:tcPr>
            <w:tcW w:w="2967" w:type="dxa"/>
            <w:vMerge/>
          </w:tcPr>
          <w:p w14:paraId="7A47FA75" w14:textId="77777777" w:rsidR="00AA25F7" w:rsidRPr="00031F4D" w:rsidRDefault="00AA25F7" w:rsidP="00AA25F7">
            <w:pPr>
              <w:rPr>
                <w:rFonts w:asciiTheme="majorHAnsi" w:hAnsiTheme="majorHAnsi" w:cstheme="majorHAnsi"/>
                <w:b/>
                <w:bCs/>
                <w:color w:val="0191AC"/>
                <w:lang w:val="en-GB"/>
              </w:rPr>
            </w:pPr>
          </w:p>
        </w:tc>
        <w:tc>
          <w:tcPr>
            <w:tcW w:w="6029" w:type="dxa"/>
          </w:tcPr>
          <w:p w14:paraId="36605157" w14:textId="20A12B6B" w:rsidR="00AA25F7" w:rsidRPr="00217D4D" w:rsidRDefault="00AA25F7" w:rsidP="00217D4D">
            <w:pPr>
              <w:pStyle w:val="ListParagraph"/>
              <w:numPr>
                <w:ilvl w:val="1"/>
                <w:numId w:val="3"/>
              </w:numPr>
              <w:snapToGrid w:val="0"/>
              <w:spacing w:after="0" w:line="240" w:lineRule="auto"/>
              <w:rPr>
                <w:rFonts w:asciiTheme="majorHAnsi" w:hAnsiTheme="majorHAnsi" w:cstheme="majorHAnsi"/>
                <w:color w:val="00A3C9"/>
                <w:lang w:val="en-GB"/>
              </w:rPr>
            </w:pPr>
            <w:r w:rsidRPr="00217D4D">
              <w:rPr>
                <w:rFonts w:asciiTheme="majorHAnsi" w:hAnsiTheme="majorHAnsi" w:cstheme="majorHAnsi"/>
                <w:color w:val="00A3C9"/>
              </w:rPr>
              <w:t xml:space="preserve">The institution’s mission, strategic plan and policies respond to, and impact upon, the Creative, Performing Arts and Design (CPAD) sector and societal needs locally, </w:t>
            </w:r>
            <w:proofErr w:type="gramStart"/>
            <w:r w:rsidRPr="00217D4D">
              <w:rPr>
                <w:rFonts w:asciiTheme="majorHAnsi" w:hAnsiTheme="majorHAnsi" w:cstheme="majorHAnsi"/>
                <w:color w:val="00A3C9"/>
              </w:rPr>
              <w:t>nationally</w:t>
            </w:r>
            <w:proofErr w:type="gramEnd"/>
            <w:r w:rsidRPr="00217D4D">
              <w:rPr>
                <w:rFonts w:asciiTheme="majorHAnsi" w:hAnsiTheme="majorHAnsi" w:cstheme="majorHAnsi"/>
                <w:color w:val="00A3C9"/>
              </w:rPr>
              <w:t xml:space="preserve"> and internationally.</w:t>
            </w:r>
          </w:p>
        </w:tc>
      </w:tr>
      <w:tr w:rsidR="00AA25F7" w:rsidRPr="00031F4D" w14:paraId="3CACA6C0" w14:textId="77777777" w:rsidTr="00AA25F7">
        <w:tc>
          <w:tcPr>
            <w:tcW w:w="2967" w:type="dxa"/>
            <w:vMerge/>
          </w:tcPr>
          <w:p w14:paraId="08227166" w14:textId="77777777" w:rsidR="00AA25F7" w:rsidRPr="00031F4D" w:rsidRDefault="00AA25F7" w:rsidP="00AA25F7">
            <w:pPr>
              <w:rPr>
                <w:rFonts w:asciiTheme="majorHAnsi" w:hAnsiTheme="majorHAnsi" w:cstheme="majorHAnsi"/>
                <w:b/>
                <w:bCs/>
                <w:color w:val="0191AC"/>
                <w:lang w:val="en-GB"/>
              </w:rPr>
            </w:pPr>
          </w:p>
        </w:tc>
        <w:tc>
          <w:tcPr>
            <w:tcW w:w="6029" w:type="dxa"/>
          </w:tcPr>
          <w:p w14:paraId="2C651393" w14:textId="6C1921A8" w:rsidR="00AA25F7" w:rsidRPr="00217D4D" w:rsidRDefault="00AA25F7" w:rsidP="00217D4D">
            <w:pPr>
              <w:pStyle w:val="ListParagraph"/>
              <w:numPr>
                <w:ilvl w:val="1"/>
                <w:numId w:val="3"/>
              </w:numPr>
              <w:spacing w:after="0" w:line="240" w:lineRule="auto"/>
              <w:rPr>
                <w:rFonts w:asciiTheme="majorHAnsi" w:hAnsiTheme="majorHAnsi" w:cstheme="majorHAnsi"/>
                <w:color w:val="00A3C9"/>
                <w:lang w:val="en-GB"/>
              </w:rPr>
            </w:pPr>
            <w:r w:rsidRPr="00217D4D">
              <w:rPr>
                <w:rFonts w:asciiTheme="majorHAnsi" w:hAnsiTheme="majorHAnsi" w:cstheme="majorHAnsi"/>
                <w:color w:val="00A3C9"/>
              </w:rPr>
              <w:t>The institution has Equal Opportunities and Inclusion &amp; Diversity strategies that cover all its operational activities</w:t>
            </w:r>
          </w:p>
        </w:tc>
      </w:tr>
      <w:tr w:rsidR="00AA25F7" w:rsidRPr="00031F4D" w14:paraId="32D78A2D" w14:textId="77777777" w:rsidTr="00AA25F7">
        <w:tc>
          <w:tcPr>
            <w:tcW w:w="2967" w:type="dxa"/>
            <w:vMerge/>
          </w:tcPr>
          <w:p w14:paraId="4685DE01" w14:textId="77777777" w:rsidR="00AA25F7" w:rsidRPr="00031F4D" w:rsidRDefault="00AA25F7" w:rsidP="00AA25F7">
            <w:pPr>
              <w:rPr>
                <w:rFonts w:asciiTheme="majorHAnsi" w:hAnsiTheme="majorHAnsi" w:cstheme="majorHAnsi"/>
                <w:b/>
                <w:bCs/>
                <w:color w:val="0191AC"/>
                <w:lang w:val="en-GB"/>
              </w:rPr>
            </w:pPr>
          </w:p>
        </w:tc>
        <w:tc>
          <w:tcPr>
            <w:tcW w:w="6029" w:type="dxa"/>
          </w:tcPr>
          <w:p w14:paraId="18A2A66E" w14:textId="38F18DA5" w:rsidR="00AA25F7" w:rsidRPr="00217D4D" w:rsidRDefault="00AA25F7" w:rsidP="00217D4D">
            <w:pPr>
              <w:pStyle w:val="ListParagraph"/>
              <w:numPr>
                <w:ilvl w:val="1"/>
                <w:numId w:val="3"/>
              </w:numPr>
              <w:spacing w:after="0" w:line="240" w:lineRule="auto"/>
              <w:rPr>
                <w:rFonts w:asciiTheme="majorHAnsi" w:hAnsiTheme="majorHAnsi" w:cstheme="majorHAnsi"/>
                <w:color w:val="00A3C9"/>
                <w:lang w:val="en-GB"/>
              </w:rPr>
            </w:pPr>
            <w:r w:rsidRPr="00217D4D">
              <w:rPr>
                <w:rFonts w:asciiTheme="majorHAnsi" w:hAnsiTheme="majorHAnsi" w:cstheme="majorHAnsi"/>
                <w:color w:val="00A3C9"/>
              </w:rPr>
              <w:t xml:space="preserve">The institution has an appropriate </w:t>
            </w:r>
            <w:proofErr w:type="spellStart"/>
            <w:r w:rsidRPr="00217D4D">
              <w:rPr>
                <w:rFonts w:asciiTheme="majorHAnsi" w:hAnsiTheme="majorHAnsi" w:cstheme="majorHAnsi"/>
                <w:color w:val="00A3C9"/>
              </w:rPr>
              <w:t>organisational</w:t>
            </w:r>
            <w:proofErr w:type="spellEnd"/>
            <w:r w:rsidRPr="00217D4D">
              <w:rPr>
                <w:rFonts w:asciiTheme="majorHAnsi" w:hAnsiTheme="majorHAnsi" w:cstheme="majorHAnsi"/>
                <w:color w:val="00A3C9"/>
              </w:rPr>
              <w:t xml:space="preserve"> structure, allied with, and aligned to clear, </w:t>
            </w:r>
            <w:proofErr w:type="gramStart"/>
            <w:r w:rsidRPr="00217D4D">
              <w:rPr>
                <w:rFonts w:asciiTheme="majorHAnsi" w:hAnsiTheme="majorHAnsi" w:cstheme="majorHAnsi"/>
                <w:color w:val="00A3C9"/>
              </w:rPr>
              <w:t>inclusive</w:t>
            </w:r>
            <w:proofErr w:type="gramEnd"/>
            <w:r w:rsidRPr="00217D4D">
              <w:rPr>
                <w:rFonts w:asciiTheme="majorHAnsi" w:hAnsiTheme="majorHAnsi" w:cstheme="majorHAnsi"/>
                <w:color w:val="00A3C9"/>
              </w:rPr>
              <w:t xml:space="preserve"> and effective decision-making processes that enable it to </w:t>
            </w:r>
            <w:proofErr w:type="spellStart"/>
            <w:r w:rsidRPr="00217D4D">
              <w:rPr>
                <w:rFonts w:asciiTheme="majorHAnsi" w:hAnsiTheme="majorHAnsi" w:cstheme="majorHAnsi"/>
                <w:color w:val="00A3C9"/>
              </w:rPr>
              <w:t>realise</w:t>
            </w:r>
            <w:proofErr w:type="spellEnd"/>
            <w:r w:rsidRPr="00217D4D">
              <w:rPr>
                <w:rFonts w:asciiTheme="majorHAnsi" w:hAnsiTheme="majorHAnsi" w:cstheme="majorHAnsi"/>
                <w:color w:val="00A3C9"/>
              </w:rPr>
              <w:t xml:space="preserve"> its mission and meet its stated strategic objectives.</w:t>
            </w:r>
          </w:p>
        </w:tc>
      </w:tr>
      <w:tr w:rsidR="00AA25F7" w:rsidRPr="00031F4D" w14:paraId="025F7143" w14:textId="77777777" w:rsidTr="00AA25F7">
        <w:tc>
          <w:tcPr>
            <w:tcW w:w="2967" w:type="dxa"/>
            <w:vMerge/>
          </w:tcPr>
          <w:p w14:paraId="11DCAD61" w14:textId="77777777" w:rsidR="00AA25F7" w:rsidRPr="00031F4D" w:rsidRDefault="00AA25F7" w:rsidP="00AA25F7">
            <w:pPr>
              <w:rPr>
                <w:rFonts w:asciiTheme="majorHAnsi" w:hAnsiTheme="majorHAnsi" w:cstheme="majorHAnsi"/>
                <w:b/>
                <w:bCs/>
                <w:color w:val="0191AC"/>
                <w:lang w:val="en-GB"/>
              </w:rPr>
            </w:pPr>
          </w:p>
        </w:tc>
        <w:tc>
          <w:tcPr>
            <w:tcW w:w="6029" w:type="dxa"/>
          </w:tcPr>
          <w:p w14:paraId="59F40B39" w14:textId="0AD063EF" w:rsidR="00AA25F7" w:rsidRPr="00217D4D" w:rsidRDefault="00AA25F7" w:rsidP="00217D4D">
            <w:pPr>
              <w:pStyle w:val="ListParagraph"/>
              <w:numPr>
                <w:ilvl w:val="1"/>
                <w:numId w:val="3"/>
              </w:numPr>
              <w:spacing w:after="0" w:line="240" w:lineRule="auto"/>
              <w:rPr>
                <w:rFonts w:asciiTheme="majorHAnsi" w:hAnsiTheme="majorHAnsi" w:cstheme="majorHAnsi"/>
                <w:color w:val="00A3C9"/>
                <w:lang w:val="en-GB"/>
              </w:rPr>
            </w:pPr>
            <w:r w:rsidRPr="00217D4D">
              <w:rPr>
                <w:rFonts w:asciiTheme="majorHAnsi" w:hAnsiTheme="majorHAnsi" w:cstheme="majorHAnsi"/>
                <w:color w:val="00A3C9"/>
              </w:rPr>
              <w:t xml:space="preserve">The institution uses an appropriate set of qualitative and quantitative indicators, to critically evaluate, accurately measure and monitor its progress towards the </w:t>
            </w:r>
            <w:proofErr w:type="spellStart"/>
            <w:r w:rsidRPr="00217D4D">
              <w:rPr>
                <w:rFonts w:asciiTheme="majorHAnsi" w:hAnsiTheme="majorHAnsi" w:cstheme="majorHAnsi"/>
                <w:color w:val="00A3C9"/>
              </w:rPr>
              <w:t>realisation</w:t>
            </w:r>
            <w:proofErr w:type="spellEnd"/>
            <w:r w:rsidRPr="00217D4D">
              <w:rPr>
                <w:rFonts w:asciiTheme="majorHAnsi" w:hAnsiTheme="majorHAnsi" w:cstheme="majorHAnsi"/>
                <w:color w:val="00A3C9"/>
              </w:rPr>
              <w:t xml:space="preserve"> of its stated strategic objectives.</w:t>
            </w:r>
          </w:p>
        </w:tc>
      </w:tr>
      <w:tr w:rsidR="00AA25F7" w:rsidRPr="00031F4D" w14:paraId="5FC0F971" w14:textId="77777777" w:rsidTr="00AA25F7">
        <w:tc>
          <w:tcPr>
            <w:tcW w:w="2967" w:type="dxa"/>
            <w:vMerge/>
          </w:tcPr>
          <w:p w14:paraId="2288CBDE" w14:textId="77777777" w:rsidR="00AA25F7" w:rsidRPr="00031F4D" w:rsidRDefault="00AA25F7" w:rsidP="00AA25F7">
            <w:pPr>
              <w:rPr>
                <w:rFonts w:asciiTheme="majorHAnsi" w:hAnsiTheme="majorHAnsi" w:cstheme="majorHAnsi"/>
                <w:b/>
                <w:bCs/>
                <w:color w:val="0191AC"/>
                <w:lang w:val="en-GB"/>
              </w:rPr>
            </w:pPr>
          </w:p>
        </w:tc>
        <w:tc>
          <w:tcPr>
            <w:tcW w:w="6029" w:type="dxa"/>
          </w:tcPr>
          <w:p w14:paraId="7501C3C9" w14:textId="31E054C3" w:rsidR="00AA25F7" w:rsidRPr="00217D4D" w:rsidRDefault="00AA25F7" w:rsidP="00217D4D">
            <w:pPr>
              <w:pStyle w:val="ListParagraph"/>
              <w:numPr>
                <w:ilvl w:val="1"/>
                <w:numId w:val="3"/>
              </w:numPr>
              <w:spacing w:after="0" w:line="240" w:lineRule="auto"/>
              <w:rPr>
                <w:rFonts w:asciiTheme="majorHAnsi" w:hAnsiTheme="majorHAnsi" w:cstheme="majorHAnsi"/>
                <w:color w:val="00A3C9"/>
                <w:lang w:val="en-GB"/>
              </w:rPr>
            </w:pPr>
            <w:r w:rsidRPr="00217D4D">
              <w:rPr>
                <w:rFonts w:asciiTheme="majorHAnsi" w:hAnsiTheme="majorHAnsi" w:cstheme="majorHAnsi"/>
                <w:color w:val="00A3C9"/>
              </w:rPr>
              <w:t>The QA policy is designed to foster an institution-wide quality culture that promotes continuous development and enhancement as well as innovation in cooperation with the CPAD sector.</w:t>
            </w:r>
          </w:p>
        </w:tc>
      </w:tr>
      <w:tr w:rsidR="00AA25F7" w:rsidRPr="00031F4D" w14:paraId="629F3044" w14:textId="77777777" w:rsidTr="00AA25F7">
        <w:tc>
          <w:tcPr>
            <w:tcW w:w="2967" w:type="dxa"/>
            <w:vMerge w:val="restart"/>
          </w:tcPr>
          <w:p w14:paraId="547B85F5" w14:textId="77777777" w:rsidR="00031F4D" w:rsidRPr="00031F4D" w:rsidRDefault="00031F4D" w:rsidP="00031F4D">
            <w:pPr>
              <w:spacing w:after="0" w:line="240" w:lineRule="auto"/>
              <w:rPr>
                <w:rFonts w:asciiTheme="majorHAnsi" w:hAnsiTheme="majorHAnsi" w:cstheme="majorHAnsi"/>
                <w:b/>
                <w:bCs/>
                <w:color w:val="0191AC"/>
                <w:lang w:val="en-GB"/>
              </w:rPr>
            </w:pPr>
            <w:r w:rsidRPr="00031F4D">
              <w:rPr>
                <w:rFonts w:asciiTheme="majorHAnsi" w:hAnsiTheme="majorHAnsi" w:cstheme="majorHAnsi"/>
                <w:b/>
                <w:bCs/>
                <w:color w:val="0191AC"/>
                <w:lang w:val="en-GB"/>
              </w:rPr>
              <w:t>2. Student-Centred Learning</w:t>
            </w:r>
          </w:p>
          <w:p w14:paraId="21CEDBDA" w14:textId="77777777" w:rsidR="00031F4D" w:rsidRPr="00031F4D" w:rsidRDefault="00031F4D" w:rsidP="00031F4D">
            <w:pPr>
              <w:spacing w:after="0" w:line="240" w:lineRule="auto"/>
              <w:rPr>
                <w:rFonts w:asciiTheme="majorHAnsi" w:hAnsiTheme="majorHAnsi" w:cstheme="majorHAnsi"/>
                <w:lang w:val="en-GB"/>
              </w:rPr>
            </w:pPr>
          </w:p>
          <w:p w14:paraId="17D4F77D" w14:textId="77777777" w:rsidR="00031F4D" w:rsidRPr="00031F4D" w:rsidRDefault="00031F4D" w:rsidP="00031F4D">
            <w:pPr>
              <w:pStyle w:val="ListParagraph"/>
              <w:spacing w:after="0" w:line="240" w:lineRule="auto"/>
              <w:ind w:left="164" w:hanging="164"/>
              <w:rPr>
                <w:rFonts w:asciiTheme="majorHAnsi" w:hAnsiTheme="majorHAnsi" w:cstheme="majorHAnsi"/>
                <w:bCs/>
                <w:color w:val="FF0000"/>
                <w:lang w:val="en-GB"/>
              </w:rPr>
            </w:pPr>
            <w:r w:rsidRPr="00031F4D">
              <w:rPr>
                <w:rFonts w:asciiTheme="majorHAnsi" w:hAnsiTheme="majorHAnsi" w:cstheme="majorHAnsi"/>
                <w:bCs/>
                <w:color w:val="FF0000"/>
                <w:lang w:val="en-GB"/>
              </w:rPr>
              <w:t xml:space="preserve">   </w:t>
            </w:r>
            <w:r w:rsidRPr="00031F4D">
              <w:rPr>
                <w:rFonts w:asciiTheme="majorHAnsi" w:hAnsiTheme="majorHAnsi" w:cstheme="majorHAnsi"/>
                <w:bCs/>
                <w:color w:val="88B9C6"/>
                <w:lang w:val="en-GB"/>
              </w:rPr>
              <w:t xml:space="preserve">The institution’s approved study programmes are designed and delivered to meet their specified objectives and externally referenced learning outcomes, and to foster student-centred approaches to learning and assessment processes.  </w:t>
            </w:r>
          </w:p>
          <w:p w14:paraId="4F2B0F81" w14:textId="7D9EE9C8" w:rsidR="00AA25F7" w:rsidRPr="00031F4D" w:rsidRDefault="00AA25F7" w:rsidP="00AA25F7">
            <w:pPr>
              <w:rPr>
                <w:rFonts w:asciiTheme="majorHAnsi" w:hAnsiTheme="majorHAnsi" w:cstheme="majorHAnsi"/>
                <w:lang w:val="en-GB"/>
              </w:rPr>
            </w:pPr>
          </w:p>
        </w:tc>
        <w:tc>
          <w:tcPr>
            <w:tcW w:w="6029" w:type="dxa"/>
          </w:tcPr>
          <w:p w14:paraId="41FEAF7D" w14:textId="5801DDE7" w:rsidR="00AA25F7" w:rsidRPr="00031F4D" w:rsidRDefault="00AA25F7" w:rsidP="00AA25F7">
            <w:pPr>
              <w:spacing w:after="0" w:line="240" w:lineRule="auto"/>
              <w:ind w:left="437" w:hanging="437"/>
              <w:rPr>
                <w:rFonts w:asciiTheme="majorHAnsi" w:hAnsiTheme="majorHAnsi" w:cstheme="majorHAnsi"/>
                <w:color w:val="00A3C9"/>
                <w:lang w:val="en-GB"/>
              </w:rPr>
            </w:pPr>
            <w:r w:rsidRPr="00031F4D">
              <w:rPr>
                <w:rFonts w:asciiTheme="majorHAnsi" w:hAnsiTheme="majorHAnsi" w:cstheme="majorHAnsi"/>
                <w:color w:val="00A3C9"/>
              </w:rPr>
              <w:t xml:space="preserve">2.1   The design of the study </w:t>
            </w:r>
            <w:proofErr w:type="spellStart"/>
            <w:r w:rsidRPr="00031F4D">
              <w:rPr>
                <w:rFonts w:asciiTheme="majorHAnsi" w:hAnsiTheme="majorHAnsi" w:cstheme="majorHAnsi"/>
                <w:color w:val="00A3C9"/>
              </w:rPr>
              <w:t>programmes</w:t>
            </w:r>
            <w:proofErr w:type="spellEnd"/>
            <w:r w:rsidRPr="00031F4D">
              <w:rPr>
                <w:rFonts w:asciiTheme="majorHAnsi" w:hAnsiTheme="majorHAnsi" w:cstheme="majorHAnsi"/>
                <w:color w:val="00A3C9"/>
              </w:rPr>
              <w:t xml:space="preserve"> is aligned with institutional vision, </w:t>
            </w:r>
            <w:proofErr w:type="gramStart"/>
            <w:r w:rsidRPr="00031F4D">
              <w:rPr>
                <w:rFonts w:asciiTheme="majorHAnsi" w:hAnsiTheme="majorHAnsi" w:cstheme="majorHAnsi"/>
                <w:color w:val="00A3C9"/>
              </w:rPr>
              <w:t>mission</w:t>
            </w:r>
            <w:proofErr w:type="gramEnd"/>
            <w:r w:rsidRPr="00031F4D">
              <w:rPr>
                <w:rFonts w:asciiTheme="majorHAnsi" w:hAnsiTheme="majorHAnsi" w:cstheme="majorHAnsi"/>
                <w:color w:val="00A3C9"/>
              </w:rPr>
              <w:t xml:space="preserve"> and strategies.</w:t>
            </w:r>
          </w:p>
        </w:tc>
      </w:tr>
      <w:tr w:rsidR="00AA25F7" w:rsidRPr="00031F4D" w14:paraId="28608A8C" w14:textId="77777777" w:rsidTr="00AA25F7">
        <w:tc>
          <w:tcPr>
            <w:tcW w:w="2967" w:type="dxa"/>
            <w:vMerge/>
          </w:tcPr>
          <w:p w14:paraId="100B8316" w14:textId="77777777" w:rsidR="00AA25F7" w:rsidRPr="00031F4D" w:rsidRDefault="00AA25F7" w:rsidP="00AA25F7">
            <w:pPr>
              <w:rPr>
                <w:rFonts w:asciiTheme="majorHAnsi" w:hAnsiTheme="majorHAnsi" w:cstheme="majorHAnsi"/>
                <w:lang w:val="en-GB"/>
              </w:rPr>
            </w:pPr>
          </w:p>
        </w:tc>
        <w:tc>
          <w:tcPr>
            <w:tcW w:w="6029" w:type="dxa"/>
          </w:tcPr>
          <w:p w14:paraId="24B0A96D" w14:textId="6635872D" w:rsidR="00AA25F7" w:rsidRPr="00031F4D" w:rsidRDefault="00AA25F7" w:rsidP="00AA25F7">
            <w:pPr>
              <w:spacing w:after="0" w:line="240" w:lineRule="auto"/>
              <w:ind w:left="437" w:hanging="437"/>
              <w:rPr>
                <w:rFonts w:asciiTheme="majorHAnsi" w:hAnsiTheme="majorHAnsi" w:cstheme="majorHAnsi"/>
                <w:color w:val="00A3C9"/>
                <w:lang w:val="en-GB"/>
              </w:rPr>
            </w:pPr>
            <w:r w:rsidRPr="00031F4D">
              <w:rPr>
                <w:rFonts w:asciiTheme="majorHAnsi" w:hAnsiTheme="majorHAnsi" w:cstheme="majorHAnsi"/>
                <w:color w:val="00A3C9"/>
              </w:rPr>
              <w:t xml:space="preserve">2.2    Study </w:t>
            </w:r>
            <w:proofErr w:type="spellStart"/>
            <w:r w:rsidRPr="00031F4D">
              <w:rPr>
                <w:rFonts w:asciiTheme="majorHAnsi" w:hAnsiTheme="majorHAnsi" w:cstheme="majorHAnsi"/>
                <w:color w:val="00A3C9"/>
              </w:rPr>
              <w:t>programmes</w:t>
            </w:r>
            <w:proofErr w:type="spellEnd"/>
            <w:r w:rsidRPr="00031F4D">
              <w:rPr>
                <w:rFonts w:asciiTheme="majorHAnsi" w:hAnsiTheme="majorHAnsi" w:cstheme="majorHAnsi"/>
                <w:color w:val="00A3C9"/>
              </w:rPr>
              <w:t>, and their intended learning outcomes (LOs) are designed, and regularly approved, including with the involvement of internal and external stakeholders.</w:t>
            </w:r>
          </w:p>
        </w:tc>
      </w:tr>
      <w:tr w:rsidR="00AA25F7" w:rsidRPr="00031F4D" w14:paraId="78FE4705" w14:textId="77777777" w:rsidTr="00AA25F7">
        <w:tc>
          <w:tcPr>
            <w:tcW w:w="2967" w:type="dxa"/>
            <w:vMerge/>
          </w:tcPr>
          <w:p w14:paraId="1AAFEF6F" w14:textId="77777777" w:rsidR="00AA25F7" w:rsidRPr="00031F4D" w:rsidRDefault="00AA25F7" w:rsidP="00AA25F7">
            <w:pPr>
              <w:rPr>
                <w:rFonts w:asciiTheme="majorHAnsi" w:hAnsiTheme="majorHAnsi" w:cstheme="majorHAnsi"/>
                <w:lang w:val="en-GB"/>
              </w:rPr>
            </w:pPr>
          </w:p>
        </w:tc>
        <w:tc>
          <w:tcPr>
            <w:tcW w:w="6029" w:type="dxa"/>
          </w:tcPr>
          <w:p w14:paraId="6A812F3E" w14:textId="5CC6BCCF" w:rsidR="00AA25F7" w:rsidRPr="00031F4D" w:rsidRDefault="00AA25F7" w:rsidP="00AA25F7">
            <w:pPr>
              <w:spacing w:after="0" w:line="240" w:lineRule="auto"/>
              <w:ind w:left="437" w:hanging="437"/>
              <w:rPr>
                <w:rFonts w:asciiTheme="majorHAnsi" w:hAnsiTheme="majorHAnsi" w:cstheme="majorHAnsi"/>
                <w:color w:val="00A3C9"/>
                <w:lang w:val="en-GB"/>
              </w:rPr>
            </w:pPr>
            <w:r w:rsidRPr="00031F4D">
              <w:rPr>
                <w:rFonts w:asciiTheme="majorHAnsi" w:hAnsiTheme="majorHAnsi" w:cstheme="majorHAnsi"/>
                <w:color w:val="00A3C9"/>
              </w:rPr>
              <w:t>2.3    The learning, teaching and assessment methods and criteria are effectively aligned with intended learning outcomes.</w:t>
            </w:r>
          </w:p>
        </w:tc>
      </w:tr>
      <w:tr w:rsidR="00AA25F7" w:rsidRPr="00031F4D" w14:paraId="7D5C52A9" w14:textId="77777777" w:rsidTr="00AA25F7">
        <w:tc>
          <w:tcPr>
            <w:tcW w:w="2967" w:type="dxa"/>
            <w:vMerge/>
          </w:tcPr>
          <w:p w14:paraId="4DF7816D" w14:textId="77777777" w:rsidR="00AA25F7" w:rsidRPr="00031F4D" w:rsidRDefault="00AA25F7" w:rsidP="00AA25F7">
            <w:pPr>
              <w:rPr>
                <w:rFonts w:asciiTheme="majorHAnsi" w:hAnsiTheme="majorHAnsi" w:cstheme="majorHAnsi"/>
                <w:lang w:val="en-GB"/>
              </w:rPr>
            </w:pPr>
          </w:p>
        </w:tc>
        <w:tc>
          <w:tcPr>
            <w:tcW w:w="6029" w:type="dxa"/>
          </w:tcPr>
          <w:p w14:paraId="2B2D211E" w14:textId="52556BA6" w:rsidR="00AA25F7" w:rsidRPr="00031F4D" w:rsidRDefault="00AA25F7" w:rsidP="00AA25F7">
            <w:pPr>
              <w:spacing w:after="0" w:line="240" w:lineRule="auto"/>
              <w:ind w:left="437" w:hanging="437"/>
              <w:rPr>
                <w:rFonts w:asciiTheme="majorHAnsi" w:hAnsiTheme="majorHAnsi" w:cstheme="majorHAnsi"/>
                <w:color w:val="00A3C9"/>
                <w:lang w:val="en-GB"/>
              </w:rPr>
            </w:pPr>
            <w:r w:rsidRPr="00031F4D">
              <w:rPr>
                <w:rFonts w:asciiTheme="majorHAnsi" w:hAnsiTheme="majorHAnsi" w:cstheme="majorHAnsi"/>
                <w:color w:val="00A3C9"/>
              </w:rPr>
              <w:t>2.4    Students are made fully aware of relevant assessment criteria and receive clear, objective, and timely feedback on their level of achievement against the learning outcomes.</w:t>
            </w:r>
          </w:p>
        </w:tc>
      </w:tr>
      <w:tr w:rsidR="00AA25F7" w:rsidRPr="00031F4D" w14:paraId="6B8797D9" w14:textId="77777777" w:rsidTr="00AA25F7">
        <w:tc>
          <w:tcPr>
            <w:tcW w:w="2967" w:type="dxa"/>
            <w:vMerge/>
          </w:tcPr>
          <w:p w14:paraId="59DC2AA2" w14:textId="77777777" w:rsidR="00AA25F7" w:rsidRPr="00031F4D" w:rsidRDefault="00AA25F7" w:rsidP="00AA25F7">
            <w:pPr>
              <w:rPr>
                <w:rFonts w:asciiTheme="majorHAnsi" w:hAnsiTheme="majorHAnsi" w:cstheme="majorHAnsi"/>
                <w:lang w:val="en-GB"/>
              </w:rPr>
            </w:pPr>
          </w:p>
        </w:tc>
        <w:tc>
          <w:tcPr>
            <w:tcW w:w="6029" w:type="dxa"/>
          </w:tcPr>
          <w:p w14:paraId="6E5C71D3" w14:textId="1C252A19" w:rsidR="00AA25F7" w:rsidRPr="00031F4D" w:rsidRDefault="00AA25F7" w:rsidP="00AA25F7">
            <w:pPr>
              <w:spacing w:after="0" w:line="240" w:lineRule="auto"/>
              <w:ind w:left="437" w:hanging="437"/>
              <w:rPr>
                <w:rFonts w:asciiTheme="majorHAnsi" w:hAnsiTheme="majorHAnsi" w:cstheme="majorHAnsi"/>
                <w:color w:val="00A3C9"/>
                <w:lang w:val="en-GB"/>
              </w:rPr>
            </w:pPr>
            <w:r w:rsidRPr="00031F4D">
              <w:rPr>
                <w:rFonts w:asciiTheme="majorHAnsi" w:hAnsiTheme="majorHAnsi" w:cstheme="majorHAnsi"/>
                <w:color w:val="00A3C9"/>
              </w:rPr>
              <w:t>2.5    Students are challenged and enabled to take an active role in their learning processes.</w:t>
            </w:r>
          </w:p>
        </w:tc>
      </w:tr>
      <w:tr w:rsidR="00AA25F7" w:rsidRPr="00031F4D" w14:paraId="6702E89C" w14:textId="77777777" w:rsidTr="00AA25F7">
        <w:tc>
          <w:tcPr>
            <w:tcW w:w="2967" w:type="dxa"/>
            <w:vMerge/>
          </w:tcPr>
          <w:p w14:paraId="4BD944C3" w14:textId="77777777" w:rsidR="00AA25F7" w:rsidRPr="00031F4D" w:rsidRDefault="00AA25F7" w:rsidP="00AA25F7">
            <w:pPr>
              <w:rPr>
                <w:rFonts w:asciiTheme="majorHAnsi" w:hAnsiTheme="majorHAnsi" w:cstheme="majorHAnsi"/>
                <w:b/>
                <w:bCs/>
                <w:color w:val="0191AC"/>
                <w:lang w:val="en-GB"/>
              </w:rPr>
            </w:pPr>
          </w:p>
        </w:tc>
        <w:tc>
          <w:tcPr>
            <w:tcW w:w="6029" w:type="dxa"/>
          </w:tcPr>
          <w:p w14:paraId="692FBA17" w14:textId="421A8DE5" w:rsidR="00AA25F7" w:rsidRPr="00031F4D" w:rsidRDefault="00AA25F7" w:rsidP="00AA25F7">
            <w:pPr>
              <w:spacing w:after="0" w:line="240" w:lineRule="auto"/>
              <w:ind w:left="437" w:hanging="437"/>
              <w:rPr>
                <w:rFonts w:asciiTheme="majorHAnsi" w:hAnsiTheme="majorHAnsi" w:cstheme="majorHAnsi"/>
                <w:color w:val="00A3C9"/>
                <w:lang w:val="en-GB"/>
              </w:rPr>
            </w:pPr>
            <w:r w:rsidRPr="00031F4D">
              <w:rPr>
                <w:rFonts w:asciiTheme="majorHAnsi" w:hAnsiTheme="majorHAnsi" w:cstheme="majorHAnsi"/>
                <w:color w:val="00A3C9"/>
              </w:rPr>
              <w:t xml:space="preserve">2.6    Students are provided with opportunities to engage with related professional practices and the world of work as part of their study </w:t>
            </w:r>
            <w:proofErr w:type="spellStart"/>
            <w:r w:rsidRPr="00031F4D">
              <w:rPr>
                <w:rFonts w:asciiTheme="majorHAnsi" w:hAnsiTheme="majorHAnsi" w:cstheme="majorHAnsi"/>
                <w:color w:val="00A3C9"/>
              </w:rPr>
              <w:t>programme</w:t>
            </w:r>
            <w:proofErr w:type="spellEnd"/>
            <w:r w:rsidRPr="00031F4D">
              <w:rPr>
                <w:rFonts w:asciiTheme="majorHAnsi" w:hAnsiTheme="majorHAnsi" w:cstheme="majorHAnsi"/>
                <w:color w:val="00A3C9"/>
              </w:rPr>
              <w:t>.</w:t>
            </w:r>
          </w:p>
        </w:tc>
      </w:tr>
      <w:tr w:rsidR="00AA25F7" w:rsidRPr="00031F4D" w14:paraId="5C782EC3" w14:textId="77777777" w:rsidTr="00AA25F7">
        <w:tc>
          <w:tcPr>
            <w:tcW w:w="2967" w:type="dxa"/>
            <w:vMerge/>
          </w:tcPr>
          <w:p w14:paraId="75A283DB" w14:textId="77777777" w:rsidR="00AA25F7" w:rsidRPr="00031F4D" w:rsidRDefault="00AA25F7" w:rsidP="00AA25F7">
            <w:pPr>
              <w:rPr>
                <w:rFonts w:asciiTheme="majorHAnsi" w:hAnsiTheme="majorHAnsi" w:cstheme="majorHAnsi"/>
                <w:b/>
                <w:bCs/>
                <w:color w:val="0191AC"/>
                <w:lang w:val="en-GB"/>
              </w:rPr>
            </w:pPr>
          </w:p>
        </w:tc>
        <w:tc>
          <w:tcPr>
            <w:tcW w:w="6029" w:type="dxa"/>
          </w:tcPr>
          <w:p w14:paraId="76A96AEE" w14:textId="2F2E1C76" w:rsidR="00AA25F7" w:rsidRPr="00031F4D" w:rsidRDefault="00AA25F7" w:rsidP="00AA25F7">
            <w:pPr>
              <w:spacing w:after="0" w:line="240" w:lineRule="auto"/>
              <w:ind w:left="437" w:hanging="437"/>
              <w:rPr>
                <w:rFonts w:asciiTheme="majorHAnsi" w:hAnsiTheme="majorHAnsi" w:cstheme="majorHAnsi"/>
                <w:color w:val="00A3C9"/>
                <w:lang w:val="en-GB"/>
              </w:rPr>
            </w:pPr>
            <w:r w:rsidRPr="00031F4D">
              <w:rPr>
                <w:rFonts w:asciiTheme="majorHAnsi" w:hAnsiTheme="majorHAnsi" w:cstheme="majorHAnsi"/>
                <w:color w:val="00A3C9"/>
              </w:rPr>
              <w:t xml:space="preserve">2.7    The curricula of undergraduate </w:t>
            </w:r>
            <w:proofErr w:type="spellStart"/>
            <w:r w:rsidRPr="00031F4D">
              <w:rPr>
                <w:rFonts w:asciiTheme="majorHAnsi" w:hAnsiTheme="majorHAnsi" w:cstheme="majorHAnsi"/>
                <w:color w:val="00A3C9"/>
              </w:rPr>
              <w:t>programmes</w:t>
            </w:r>
            <w:proofErr w:type="spellEnd"/>
            <w:r w:rsidRPr="00031F4D">
              <w:rPr>
                <w:rFonts w:asciiTheme="majorHAnsi" w:hAnsiTheme="majorHAnsi" w:cstheme="majorHAnsi"/>
                <w:color w:val="00A3C9"/>
              </w:rPr>
              <w:t xml:space="preserve"> are informed by leading research in the subject field. The curricula of postgraduate </w:t>
            </w:r>
            <w:proofErr w:type="spellStart"/>
            <w:r w:rsidRPr="00031F4D">
              <w:rPr>
                <w:rFonts w:asciiTheme="majorHAnsi" w:hAnsiTheme="majorHAnsi" w:cstheme="majorHAnsi"/>
                <w:color w:val="00A3C9"/>
              </w:rPr>
              <w:t>programmes</w:t>
            </w:r>
            <w:proofErr w:type="spellEnd"/>
            <w:r w:rsidRPr="00031F4D">
              <w:rPr>
                <w:rFonts w:asciiTheme="majorHAnsi" w:hAnsiTheme="majorHAnsi" w:cstheme="majorHAnsi"/>
                <w:color w:val="00A3C9"/>
              </w:rPr>
              <w:t xml:space="preserve"> actively engage students in research.</w:t>
            </w:r>
          </w:p>
        </w:tc>
      </w:tr>
      <w:tr w:rsidR="00AA25F7" w:rsidRPr="00031F4D" w14:paraId="42D6CC14" w14:textId="77777777" w:rsidTr="00AA25F7">
        <w:tc>
          <w:tcPr>
            <w:tcW w:w="2967" w:type="dxa"/>
            <w:vMerge w:val="restart"/>
          </w:tcPr>
          <w:p w14:paraId="4EC53D71" w14:textId="77777777" w:rsidR="00031F4D" w:rsidRPr="00031F4D" w:rsidRDefault="00031F4D" w:rsidP="00031F4D">
            <w:pPr>
              <w:spacing w:after="0" w:line="240" w:lineRule="auto"/>
              <w:ind w:left="164" w:hanging="164"/>
              <w:rPr>
                <w:rFonts w:asciiTheme="majorHAnsi" w:hAnsiTheme="majorHAnsi" w:cstheme="majorHAnsi"/>
                <w:b/>
                <w:bCs/>
                <w:color w:val="0191AC"/>
                <w:lang w:val="en-GB"/>
              </w:rPr>
            </w:pPr>
            <w:r w:rsidRPr="00031F4D">
              <w:rPr>
                <w:rFonts w:asciiTheme="majorHAnsi" w:hAnsiTheme="majorHAnsi" w:cstheme="majorHAnsi"/>
                <w:b/>
                <w:bCs/>
                <w:color w:val="0191AC"/>
                <w:lang w:val="en-GB"/>
              </w:rPr>
              <w:t>3. Assuring the Student Study Experience</w:t>
            </w:r>
          </w:p>
          <w:p w14:paraId="7FD2F51C" w14:textId="77777777" w:rsidR="00031F4D" w:rsidRPr="00031F4D" w:rsidRDefault="00031F4D" w:rsidP="00031F4D">
            <w:pPr>
              <w:spacing w:after="0" w:line="240" w:lineRule="auto"/>
              <w:rPr>
                <w:rFonts w:asciiTheme="majorHAnsi" w:hAnsiTheme="majorHAnsi" w:cstheme="majorHAnsi"/>
                <w:b/>
                <w:bCs/>
                <w:color w:val="0191AC"/>
                <w:lang w:val="en-GB"/>
              </w:rPr>
            </w:pPr>
          </w:p>
          <w:p w14:paraId="7FBDB2F1" w14:textId="77777777" w:rsidR="00AA25F7" w:rsidRDefault="00031F4D" w:rsidP="00031F4D">
            <w:pPr>
              <w:pStyle w:val="ListParagraph"/>
              <w:spacing w:after="0" w:line="240" w:lineRule="auto"/>
              <w:ind w:left="164" w:hanging="164"/>
              <w:rPr>
                <w:rFonts w:asciiTheme="majorHAnsi" w:hAnsiTheme="majorHAnsi" w:cstheme="majorHAnsi"/>
                <w:bCs/>
                <w:color w:val="88B9C6"/>
                <w:lang w:val="en-GB"/>
              </w:rPr>
            </w:pPr>
            <w:r w:rsidRPr="00031F4D">
              <w:rPr>
                <w:rFonts w:asciiTheme="majorHAnsi" w:hAnsiTheme="majorHAnsi" w:cstheme="majorHAnsi"/>
                <w:bCs/>
                <w:color w:val="FF0000"/>
                <w:lang w:val="en-GB"/>
              </w:rPr>
              <w:lastRenderedPageBreak/>
              <w:t xml:space="preserve">   </w:t>
            </w:r>
            <w:r w:rsidRPr="00031F4D">
              <w:rPr>
                <w:rFonts w:asciiTheme="majorHAnsi" w:hAnsiTheme="majorHAnsi" w:cstheme="majorHAnsi"/>
                <w:bCs/>
                <w:color w:val="88B9C6"/>
                <w:lang w:val="en-GB"/>
              </w:rPr>
              <w:t>The institution and its programmes consistently and equitably apply pre-defined and published regulations that are fit for purpose and cover the whole cycle of the student study experience</w:t>
            </w:r>
            <w:r>
              <w:rPr>
                <w:rFonts w:asciiTheme="majorHAnsi" w:hAnsiTheme="majorHAnsi" w:cstheme="majorHAnsi"/>
                <w:bCs/>
                <w:color w:val="88B9C6"/>
                <w:lang w:val="en-GB"/>
              </w:rPr>
              <w:t>.</w:t>
            </w:r>
          </w:p>
          <w:p w14:paraId="0F8D0A06" w14:textId="5D64598B" w:rsidR="00A40959" w:rsidRPr="00031F4D" w:rsidRDefault="00A40959" w:rsidP="00031F4D">
            <w:pPr>
              <w:pStyle w:val="ListParagraph"/>
              <w:spacing w:after="0" w:line="240" w:lineRule="auto"/>
              <w:ind w:left="164" w:hanging="164"/>
              <w:rPr>
                <w:rFonts w:asciiTheme="majorHAnsi" w:hAnsiTheme="majorHAnsi" w:cstheme="majorHAnsi"/>
                <w:bCs/>
                <w:color w:val="88B9C6"/>
                <w:lang w:val="en-GB"/>
              </w:rPr>
            </w:pPr>
          </w:p>
        </w:tc>
        <w:tc>
          <w:tcPr>
            <w:tcW w:w="6029" w:type="dxa"/>
          </w:tcPr>
          <w:p w14:paraId="30C64F23" w14:textId="2AA43468" w:rsidR="00AA25F7" w:rsidRPr="00031F4D" w:rsidRDefault="00AA25F7" w:rsidP="00AA25F7">
            <w:pPr>
              <w:spacing w:after="0" w:line="240" w:lineRule="auto"/>
              <w:ind w:left="437" w:hanging="437"/>
              <w:rPr>
                <w:rFonts w:asciiTheme="majorHAnsi" w:hAnsiTheme="majorHAnsi" w:cstheme="majorHAnsi"/>
                <w:color w:val="00A3C9"/>
                <w:lang w:val="en-GB"/>
              </w:rPr>
            </w:pPr>
            <w:r w:rsidRPr="00031F4D">
              <w:rPr>
                <w:rFonts w:asciiTheme="majorHAnsi" w:hAnsiTheme="majorHAnsi" w:cstheme="majorHAnsi"/>
                <w:color w:val="00A3C9"/>
              </w:rPr>
              <w:lastRenderedPageBreak/>
              <w:t xml:space="preserve">3.1    The institution and its </w:t>
            </w:r>
            <w:proofErr w:type="spellStart"/>
            <w:r w:rsidRPr="00031F4D">
              <w:rPr>
                <w:rFonts w:asciiTheme="majorHAnsi" w:hAnsiTheme="majorHAnsi" w:cstheme="majorHAnsi"/>
                <w:color w:val="00A3C9"/>
              </w:rPr>
              <w:t>programmes</w:t>
            </w:r>
            <w:proofErr w:type="spellEnd"/>
            <w:r w:rsidRPr="00031F4D">
              <w:rPr>
                <w:rFonts w:asciiTheme="majorHAnsi" w:hAnsiTheme="majorHAnsi" w:cstheme="majorHAnsi"/>
                <w:color w:val="00A3C9"/>
              </w:rPr>
              <w:t xml:space="preserve"> consistently apply regulations on the whole cycle of the student experience addressing application &amp; admissions, recognition for prior learning, and progression &amp; achievement.</w:t>
            </w:r>
          </w:p>
        </w:tc>
      </w:tr>
      <w:tr w:rsidR="00AA25F7" w:rsidRPr="00031F4D" w14:paraId="788656CA" w14:textId="77777777" w:rsidTr="00AA25F7">
        <w:tc>
          <w:tcPr>
            <w:tcW w:w="2967" w:type="dxa"/>
            <w:vMerge/>
          </w:tcPr>
          <w:p w14:paraId="455FF75A" w14:textId="77777777" w:rsidR="00AA25F7" w:rsidRPr="00031F4D" w:rsidRDefault="00AA25F7" w:rsidP="00AA25F7">
            <w:pPr>
              <w:rPr>
                <w:rFonts w:asciiTheme="majorHAnsi" w:hAnsiTheme="majorHAnsi" w:cstheme="majorHAnsi"/>
                <w:b/>
                <w:bCs/>
                <w:color w:val="0191AC"/>
                <w:lang w:val="en-GB"/>
              </w:rPr>
            </w:pPr>
          </w:p>
        </w:tc>
        <w:tc>
          <w:tcPr>
            <w:tcW w:w="6029" w:type="dxa"/>
          </w:tcPr>
          <w:p w14:paraId="0DA11A9B" w14:textId="2A447A7A" w:rsidR="00AA25F7" w:rsidRPr="00031F4D" w:rsidRDefault="00AA25F7" w:rsidP="00AA25F7">
            <w:pPr>
              <w:spacing w:after="0" w:line="240" w:lineRule="auto"/>
              <w:ind w:left="437" w:hanging="437"/>
              <w:rPr>
                <w:rFonts w:asciiTheme="majorHAnsi" w:hAnsiTheme="majorHAnsi" w:cstheme="majorHAnsi"/>
                <w:color w:val="00A3C9"/>
                <w:lang w:val="en-GB"/>
              </w:rPr>
            </w:pPr>
            <w:r w:rsidRPr="00031F4D">
              <w:rPr>
                <w:rFonts w:asciiTheme="majorHAnsi" w:hAnsiTheme="majorHAnsi" w:cstheme="majorHAnsi"/>
                <w:color w:val="00A3C9"/>
              </w:rPr>
              <w:t xml:space="preserve">3.2    The regulations pertaining to the student experience are applied according to the specific rights of the students, their individual </w:t>
            </w:r>
            <w:proofErr w:type="gramStart"/>
            <w:r w:rsidRPr="00031F4D">
              <w:rPr>
                <w:rFonts w:asciiTheme="majorHAnsi" w:hAnsiTheme="majorHAnsi" w:cstheme="majorHAnsi"/>
                <w:color w:val="00A3C9"/>
              </w:rPr>
              <w:t>rights</w:t>
            </w:r>
            <w:proofErr w:type="gramEnd"/>
            <w:r w:rsidRPr="00031F4D">
              <w:rPr>
                <w:rFonts w:asciiTheme="majorHAnsi" w:hAnsiTheme="majorHAnsi" w:cstheme="majorHAnsi"/>
                <w:color w:val="00A3C9"/>
              </w:rPr>
              <w:t xml:space="preserve"> and their diversity.</w:t>
            </w:r>
          </w:p>
        </w:tc>
      </w:tr>
      <w:tr w:rsidR="00AA25F7" w:rsidRPr="00031F4D" w14:paraId="301B5FFB" w14:textId="77777777" w:rsidTr="00AA25F7">
        <w:tc>
          <w:tcPr>
            <w:tcW w:w="2967" w:type="dxa"/>
            <w:vMerge w:val="restart"/>
          </w:tcPr>
          <w:p w14:paraId="14C09E47" w14:textId="77777777" w:rsidR="00031F4D" w:rsidRPr="00031F4D" w:rsidRDefault="00031F4D" w:rsidP="00031F4D">
            <w:pPr>
              <w:spacing w:after="0" w:line="240" w:lineRule="auto"/>
              <w:rPr>
                <w:rFonts w:asciiTheme="majorHAnsi" w:hAnsiTheme="majorHAnsi" w:cstheme="majorHAnsi"/>
                <w:lang w:val="en-GB"/>
              </w:rPr>
            </w:pPr>
            <w:r w:rsidRPr="00031F4D">
              <w:rPr>
                <w:rFonts w:asciiTheme="majorHAnsi" w:hAnsiTheme="majorHAnsi" w:cstheme="majorHAnsi"/>
                <w:b/>
                <w:bCs/>
                <w:color w:val="0191AC"/>
                <w:lang w:val="en-GB"/>
              </w:rPr>
              <w:t>4. Human Resources</w:t>
            </w:r>
          </w:p>
          <w:p w14:paraId="3C84D65F" w14:textId="77777777" w:rsidR="00031F4D" w:rsidRPr="00031F4D" w:rsidRDefault="00031F4D" w:rsidP="00031F4D">
            <w:pPr>
              <w:spacing w:after="0" w:line="240" w:lineRule="auto"/>
              <w:rPr>
                <w:rFonts w:asciiTheme="majorHAnsi" w:hAnsiTheme="majorHAnsi" w:cstheme="majorHAnsi"/>
                <w:lang w:val="en-GB"/>
              </w:rPr>
            </w:pPr>
          </w:p>
          <w:p w14:paraId="4F20C66A" w14:textId="77777777" w:rsidR="00031F4D" w:rsidRPr="00031F4D" w:rsidRDefault="00031F4D" w:rsidP="00031F4D">
            <w:pPr>
              <w:pStyle w:val="ListParagraph"/>
              <w:spacing w:after="0" w:line="240" w:lineRule="auto"/>
              <w:ind w:left="164" w:hanging="164"/>
              <w:rPr>
                <w:rFonts w:asciiTheme="majorHAnsi" w:hAnsiTheme="majorHAnsi" w:cstheme="majorHAnsi"/>
                <w:color w:val="FF0000"/>
                <w:lang w:val="en-GB"/>
              </w:rPr>
            </w:pPr>
            <w:r w:rsidRPr="00031F4D">
              <w:rPr>
                <w:rFonts w:asciiTheme="majorHAnsi" w:hAnsiTheme="majorHAnsi" w:cstheme="majorHAnsi"/>
                <w:color w:val="FF0000"/>
                <w:lang w:val="en-GB"/>
              </w:rPr>
              <w:t xml:space="preserve">   </w:t>
            </w:r>
            <w:r w:rsidRPr="00031F4D">
              <w:rPr>
                <w:rFonts w:asciiTheme="majorHAnsi" w:hAnsiTheme="majorHAnsi" w:cstheme="majorHAnsi"/>
                <w:color w:val="88B9C6"/>
                <w:lang w:val="en-GB"/>
              </w:rPr>
              <w:t>The institution and its programmes ensure that the student learning experience is supported by a sufficient compliment of appropriately qualified and experienced employees.</w:t>
            </w:r>
          </w:p>
          <w:p w14:paraId="6CE3095A" w14:textId="48EBAFB5" w:rsidR="00AA25F7" w:rsidRPr="00031F4D" w:rsidRDefault="00AA25F7" w:rsidP="00AA25F7">
            <w:pPr>
              <w:rPr>
                <w:rFonts w:asciiTheme="majorHAnsi" w:hAnsiTheme="majorHAnsi" w:cstheme="majorHAnsi"/>
                <w:b/>
                <w:bCs/>
                <w:color w:val="0191AC"/>
                <w:lang w:val="en-GB"/>
              </w:rPr>
            </w:pPr>
          </w:p>
        </w:tc>
        <w:tc>
          <w:tcPr>
            <w:tcW w:w="6029" w:type="dxa"/>
          </w:tcPr>
          <w:p w14:paraId="5CEAA07A" w14:textId="6300A14B" w:rsidR="00AA25F7" w:rsidRPr="00031F4D" w:rsidRDefault="00AA25F7" w:rsidP="00AA25F7">
            <w:pPr>
              <w:spacing w:after="0" w:line="240" w:lineRule="auto"/>
              <w:ind w:left="437" w:hanging="437"/>
              <w:rPr>
                <w:rFonts w:asciiTheme="majorHAnsi" w:hAnsiTheme="majorHAnsi" w:cstheme="majorHAnsi"/>
                <w:color w:val="00A3C9"/>
              </w:rPr>
            </w:pPr>
            <w:r w:rsidRPr="00031F4D">
              <w:rPr>
                <w:rFonts w:asciiTheme="majorHAnsi" w:hAnsiTheme="majorHAnsi" w:cstheme="majorHAnsi"/>
                <w:color w:val="00A3C9"/>
              </w:rPr>
              <w:t xml:space="preserve">4.1    The compliment of teaching, research, academic </w:t>
            </w:r>
            <w:proofErr w:type="gramStart"/>
            <w:r w:rsidRPr="00031F4D">
              <w:rPr>
                <w:rFonts w:asciiTheme="majorHAnsi" w:hAnsiTheme="majorHAnsi" w:cstheme="majorHAnsi"/>
                <w:color w:val="00A3C9"/>
              </w:rPr>
              <w:t>management</w:t>
            </w:r>
            <w:proofErr w:type="gramEnd"/>
            <w:r w:rsidRPr="00031F4D">
              <w:rPr>
                <w:rFonts w:asciiTheme="majorHAnsi" w:hAnsiTheme="majorHAnsi" w:cstheme="majorHAnsi"/>
                <w:color w:val="00A3C9"/>
              </w:rPr>
              <w:t xml:space="preserve"> and study support staff available to students is sufficient to enable them to achieve their learning outcomes.</w:t>
            </w:r>
          </w:p>
        </w:tc>
      </w:tr>
      <w:tr w:rsidR="00AA25F7" w:rsidRPr="00031F4D" w14:paraId="26D53F1B" w14:textId="77777777" w:rsidTr="00AA25F7">
        <w:tc>
          <w:tcPr>
            <w:tcW w:w="2967" w:type="dxa"/>
            <w:vMerge/>
          </w:tcPr>
          <w:p w14:paraId="253DFD19" w14:textId="77777777" w:rsidR="00AA25F7" w:rsidRPr="00031F4D" w:rsidRDefault="00AA25F7" w:rsidP="00AA25F7">
            <w:pPr>
              <w:rPr>
                <w:rFonts w:asciiTheme="majorHAnsi" w:hAnsiTheme="majorHAnsi" w:cstheme="majorHAnsi"/>
                <w:b/>
                <w:bCs/>
                <w:color w:val="0191AC"/>
              </w:rPr>
            </w:pPr>
          </w:p>
        </w:tc>
        <w:tc>
          <w:tcPr>
            <w:tcW w:w="6029" w:type="dxa"/>
          </w:tcPr>
          <w:p w14:paraId="5623648C" w14:textId="2A38B3B5" w:rsidR="00AA25F7" w:rsidRPr="00031F4D" w:rsidRDefault="00AA25F7" w:rsidP="00AA25F7">
            <w:pPr>
              <w:spacing w:after="0" w:line="240" w:lineRule="auto"/>
              <w:ind w:left="437" w:hanging="437"/>
              <w:rPr>
                <w:rFonts w:asciiTheme="majorHAnsi" w:hAnsiTheme="majorHAnsi" w:cstheme="majorHAnsi"/>
                <w:color w:val="00A3C9"/>
              </w:rPr>
            </w:pPr>
            <w:r w:rsidRPr="00031F4D">
              <w:rPr>
                <w:rFonts w:asciiTheme="majorHAnsi" w:hAnsiTheme="majorHAnsi" w:cstheme="majorHAnsi"/>
                <w:color w:val="00A3C9"/>
              </w:rPr>
              <w:t xml:space="preserve">4.2    The competences of the teaching, research, academic </w:t>
            </w:r>
            <w:proofErr w:type="gramStart"/>
            <w:r w:rsidRPr="00031F4D">
              <w:rPr>
                <w:rFonts w:asciiTheme="majorHAnsi" w:hAnsiTheme="majorHAnsi" w:cstheme="majorHAnsi"/>
                <w:color w:val="00A3C9"/>
              </w:rPr>
              <w:t>management</w:t>
            </w:r>
            <w:proofErr w:type="gramEnd"/>
            <w:r w:rsidRPr="00031F4D">
              <w:rPr>
                <w:rFonts w:asciiTheme="majorHAnsi" w:hAnsiTheme="majorHAnsi" w:cstheme="majorHAnsi"/>
                <w:color w:val="00A3C9"/>
              </w:rPr>
              <w:t xml:space="preserve"> and study support staff enable the students to achieve their learning outcomes.</w:t>
            </w:r>
          </w:p>
        </w:tc>
      </w:tr>
      <w:tr w:rsidR="00AA25F7" w:rsidRPr="00031F4D" w14:paraId="69CD8BB9" w14:textId="77777777" w:rsidTr="00AA25F7">
        <w:tc>
          <w:tcPr>
            <w:tcW w:w="2967" w:type="dxa"/>
            <w:vMerge/>
          </w:tcPr>
          <w:p w14:paraId="5DE2A607" w14:textId="77777777" w:rsidR="00AA25F7" w:rsidRPr="00031F4D" w:rsidRDefault="00AA25F7" w:rsidP="00AA25F7">
            <w:pPr>
              <w:rPr>
                <w:rFonts w:asciiTheme="majorHAnsi" w:hAnsiTheme="majorHAnsi" w:cstheme="majorHAnsi"/>
                <w:b/>
                <w:bCs/>
                <w:color w:val="0191AC"/>
              </w:rPr>
            </w:pPr>
          </w:p>
        </w:tc>
        <w:tc>
          <w:tcPr>
            <w:tcW w:w="6029" w:type="dxa"/>
          </w:tcPr>
          <w:p w14:paraId="5B0855B9" w14:textId="5C52EB16" w:rsidR="00AA25F7" w:rsidRPr="00031F4D" w:rsidRDefault="00AA25F7" w:rsidP="00AA25F7">
            <w:pPr>
              <w:spacing w:after="0" w:line="240" w:lineRule="auto"/>
              <w:ind w:left="437" w:hanging="437"/>
              <w:rPr>
                <w:rFonts w:asciiTheme="majorHAnsi" w:hAnsiTheme="majorHAnsi" w:cstheme="majorHAnsi"/>
                <w:color w:val="00A3C9"/>
              </w:rPr>
            </w:pPr>
            <w:r w:rsidRPr="00031F4D">
              <w:rPr>
                <w:rFonts w:asciiTheme="majorHAnsi" w:hAnsiTheme="majorHAnsi" w:cstheme="majorHAnsi"/>
                <w:color w:val="00A3C9"/>
              </w:rPr>
              <w:t xml:space="preserve">4.3    The institution recruits the teaching, research, academic </w:t>
            </w:r>
            <w:proofErr w:type="gramStart"/>
            <w:r w:rsidRPr="00031F4D">
              <w:rPr>
                <w:rFonts w:asciiTheme="majorHAnsi" w:hAnsiTheme="majorHAnsi" w:cstheme="majorHAnsi"/>
                <w:color w:val="00A3C9"/>
              </w:rPr>
              <w:t>management</w:t>
            </w:r>
            <w:proofErr w:type="gramEnd"/>
            <w:r w:rsidRPr="00031F4D">
              <w:rPr>
                <w:rFonts w:asciiTheme="majorHAnsi" w:hAnsiTheme="majorHAnsi" w:cstheme="majorHAnsi"/>
                <w:color w:val="00A3C9"/>
              </w:rPr>
              <w:t xml:space="preserve"> and study support staff in accordance with their Equal Opportunities and Inclusion &amp; Diversity Strategies.</w:t>
            </w:r>
          </w:p>
        </w:tc>
      </w:tr>
      <w:tr w:rsidR="00AA25F7" w:rsidRPr="00031F4D" w14:paraId="31F0DFE9" w14:textId="77777777" w:rsidTr="00AA25F7">
        <w:tc>
          <w:tcPr>
            <w:tcW w:w="2967" w:type="dxa"/>
            <w:vMerge/>
          </w:tcPr>
          <w:p w14:paraId="0D76192B" w14:textId="77777777" w:rsidR="00AA25F7" w:rsidRPr="00031F4D" w:rsidRDefault="00AA25F7" w:rsidP="00AA25F7">
            <w:pPr>
              <w:rPr>
                <w:rFonts w:asciiTheme="majorHAnsi" w:hAnsiTheme="majorHAnsi" w:cstheme="majorHAnsi"/>
                <w:b/>
                <w:bCs/>
                <w:color w:val="0191AC"/>
              </w:rPr>
            </w:pPr>
          </w:p>
        </w:tc>
        <w:tc>
          <w:tcPr>
            <w:tcW w:w="6029" w:type="dxa"/>
          </w:tcPr>
          <w:p w14:paraId="06B03BC0" w14:textId="74119E01" w:rsidR="00AA25F7" w:rsidRPr="00031F4D" w:rsidRDefault="00AA25F7" w:rsidP="00AA25F7">
            <w:pPr>
              <w:spacing w:after="0" w:line="240" w:lineRule="auto"/>
              <w:ind w:left="437" w:hanging="437"/>
              <w:rPr>
                <w:rFonts w:asciiTheme="majorHAnsi" w:hAnsiTheme="majorHAnsi" w:cstheme="majorHAnsi"/>
                <w:color w:val="00A3C9"/>
              </w:rPr>
            </w:pPr>
            <w:r w:rsidRPr="00031F4D">
              <w:rPr>
                <w:rFonts w:asciiTheme="majorHAnsi" w:hAnsiTheme="majorHAnsi" w:cstheme="majorHAnsi"/>
                <w:color w:val="00A3C9"/>
              </w:rPr>
              <w:t>4.4    The institution offers its staff career opportunities that are equitable, enables them to improve their performance, to achieve their personal ambitions and engage with the strategic priorities of the institution and developments across the wider CPAD sector.</w:t>
            </w:r>
          </w:p>
        </w:tc>
      </w:tr>
      <w:tr w:rsidR="00031F4D" w:rsidRPr="00031F4D" w14:paraId="37064E3A" w14:textId="77777777" w:rsidTr="00AA25F7">
        <w:tc>
          <w:tcPr>
            <w:tcW w:w="2967" w:type="dxa"/>
            <w:vMerge w:val="restart"/>
          </w:tcPr>
          <w:p w14:paraId="06C5BB18" w14:textId="77777777" w:rsidR="00031F4D" w:rsidRPr="00031F4D" w:rsidRDefault="00031F4D" w:rsidP="00031F4D">
            <w:pPr>
              <w:spacing w:after="0" w:line="240" w:lineRule="auto"/>
              <w:rPr>
                <w:rFonts w:asciiTheme="majorHAnsi" w:hAnsiTheme="majorHAnsi" w:cstheme="majorHAnsi"/>
                <w:b/>
                <w:bCs/>
                <w:color w:val="0191AC"/>
                <w:lang w:val="en-GB"/>
              </w:rPr>
            </w:pPr>
            <w:r w:rsidRPr="00031F4D">
              <w:rPr>
                <w:rFonts w:asciiTheme="majorHAnsi" w:hAnsiTheme="majorHAnsi" w:cstheme="majorHAnsi"/>
                <w:b/>
                <w:bCs/>
                <w:color w:val="0191AC"/>
                <w:lang w:val="en-GB"/>
              </w:rPr>
              <w:t>5. Learning &amp; Teaching Resources</w:t>
            </w:r>
          </w:p>
          <w:p w14:paraId="6AA74AA1" w14:textId="77777777" w:rsidR="00031F4D" w:rsidRPr="00031F4D" w:rsidRDefault="00031F4D" w:rsidP="00031F4D">
            <w:pPr>
              <w:spacing w:after="0" w:line="240" w:lineRule="auto"/>
              <w:rPr>
                <w:rFonts w:asciiTheme="majorHAnsi" w:hAnsiTheme="majorHAnsi" w:cstheme="majorHAnsi"/>
                <w:b/>
                <w:bCs/>
                <w:color w:val="0191AC"/>
                <w:lang w:val="en-GB"/>
              </w:rPr>
            </w:pPr>
          </w:p>
          <w:p w14:paraId="47D35039" w14:textId="77777777" w:rsidR="00031F4D" w:rsidRDefault="00031F4D" w:rsidP="00031F4D">
            <w:pPr>
              <w:pStyle w:val="ListParagraph"/>
              <w:spacing w:after="0" w:line="240" w:lineRule="auto"/>
              <w:ind w:left="164" w:hanging="164"/>
              <w:rPr>
                <w:rFonts w:asciiTheme="majorHAnsi" w:hAnsiTheme="majorHAnsi" w:cstheme="majorHAnsi"/>
                <w:bCs/>
                <w:color w:val="88B9C6"/>
                <w:lang w:val="en-GB"/>
              </w:rPr>
            </w:pPr>
            <w:r w:rsidRPr="00031F4D">
              <w:rPr>
                <w:rFonts w:asciiTheme="majorHAnsi" w:hAnsiTheme="majorHAnsi" w:cstheme="majorHAnsi"/>
                <w:bCs/>
                <w:color w:val="FF0000"/>
                <w:lang w:val="en-GB"/>
              </w:rPr>
              <w:t xml:space="preserve">   </w:t>
            </w:r>
            <w:r w:rsidRPr="00031F4D">
              <w:rPr>
                <w:rFonts w:asciiTheme="majorHAnsi" w:hAnsiTheme="majorHAnsi" w:cstheme="majorHAnsi"/>
                <w:bCs/>
                <w:color w:val="88B9C6"/>
                <w:lang w:val="en-GB"/>
              </w:rPr>
              <w:t>The institution allocates sufficient financial resources to its study programmes so that they have access to an appropriate and sufficient range of learning &amp; teaching resources that enable students to achieve the intended learning outcomes</w:t>
            </w:r>
            <w:r>
              <w:rPr>
                <w:rFonts w:asciiTheme="majorHAnsi" w:hAnsiTheme="majorHAnsi" w:cstheme="majorHAnsi"/>
                <w:bCs/>
                <w:color w:val="88B9C6"/>
                <w:lang w:val="en-GB"/>
              </w:rPr>
              <w:t>.</w:t>
            </w:r>
          </w:p>
          <w:p w14:paraId="00CAB91A" w14:textId="51E96474" w:rsidR="00A40959" w:rsidRPr="00031F4D" w:rsidRDefault="00A40959" w:rsidP="00031F4D">
            <w:pPr>
              <w:pStyle w:val="ListParagraph"/>
              <w:spacing w:after="0" w:line="240" w:lineRule="auto"/>
              <w:ind w:left="164" w:hanging="164"/>
              <w:rPr>
                <w:rFonts w:asciiTheme="majorHAnsi" w:hAnsiTheme="majorHAnsi" w:cstheme="majorHAnsi"/>
                <w:bCs/>
                <w:color w:val="FF0000"/>
                <w:lang w:val="en-GB"/>
              </w:rPr>
            </w:pPr>
          </w:p>
        </w:tc>
        <w:tc>
          <w:tcPr>
            <w:tcW w:w="6029" w:type="dxa"/>
          </w:tcPr>
          <w:p w14:paraId="7C2BCA8C" w14:textId="202C3E1C" w:rsidR="00031F4D" w:rsidRPr="00031F4D" w:rsidRDefault="00031F4D" w:rsidP="00031F4D">
            <w:pPr>
              <w:spacing w:after="0" w:line="240" w:lineRule="auto"/>
              <w:ind w:left="437" w:hanging="437"/>
              <w:rPr>
                <w:rFonts w:asciiTheme="majorHAnsi" w:hAnsiTheme="majorHAnsi" w:cstheme="majorHAnsi"/>
                <w:color w:val="00A3C9"/>
              </w:rPr>
            </w:pPr>
            <w:r w:rsidRPr="00031F4D">
              <w:rPr>
                <w:rFonts w:asciiTheme="majorHAnsi" w:hAnsiTheme="majorHAnsi" w:cstheme="majorHAnsi"/>
                <w:color w:val="00A3C9"/>
              </w:rPr>
              <w:t>5.1    The institution allocates appropriate financial resources to the material support of all aspects of student learning, including intended Learning Outcomes.</w:t>
            </w:r>
          </w:p>
        </w:tc>
      </w:tr>
      <w:tr w:rsidR="00031F4D" w:rsidRPr="00031F4D" w14:paraId="3140CE0A" w14:textId="77777777" w:rsidTr="00AA25F7">
        <w:tc>
          <w:tcPr>
            <w:tcW w:w="2967" w:type="dxa"/>
            <w:vMerge/>
          </w:tcPr>
          <w:p w14:paraId="07F3E58F" w14:textId="77777777" w:rsidR="00031F4D" w:rsidRPr="00031F4D" w:rsidRDefault="00031F4D" w:rsidP="00031F4D">
            <w:pPr>
              <w:rPr>
                <w:rFonts w:asciiTheme="majorHAnsi" w:hAnsiTheme="majorHAnsi" w:cstheme="majorHAnsi"/>
                <w:b/>
                <w:bCs/>
                <w:color w:val="0191AC"/>
              </w:rPr>
            </w:pPr>
          </w:p>
        </w:tc>
        <w:tc>
          <w:tcPr>
            <w:tcW w:w="6029" w:type="dxa"/>
          </w:tcPr>
          <w:p w14:paraId="32BA544D" w14:textId="23D784CE" w:rsidR="00031F4D" w:rsidRPr="00031F4D" w:rsidRDefault="00031F4D" w:rsidP="00031F4D">
            <w:pPr>
              <w:spacing w:after="0" w:line="240" w:lineRule="auto"/>
              <w:ind w:left="437" w:hanging="437"/>
              <w:rPr>
                <w:rFonts w:asciiTheme="majorHAnsi" w:hAnsiTheme="majorHAnsi" w:cstheme="majorHAnsi"/>
                <w:color w:val="00A3C9"/>
              </w:rPr>
            </w:pPr>
            <w:r w:rsidRPr="00031F4D">
              <w:rPr>
                <w:rFonts w:asciiTheme="majorHAnsi" w:hAnsiTheme="majorHAnsi" w:cstheme="majorHAnsi"/>
                <w:color w:val="00A3C9"/>
              </w:rPr>
              <w:t>5.2    The institution makes appropriate resources available to deliver the relevant quality of research.</w:t>
            </w:r>
          </w:p>
        </w:tc>
      </w:tr>
      <w:tr w:rsidR="00031F4D" w:rsidRPr="00031F4D" w14:paraId="63707CE9" w14:textId="77777777" w:rsidTr="00AA25F7">
        <w:tc>
          <w:tcPr>
            <w:tcW w:w="2967" w:type="dxa"/>
            <w:vMerge/>
          </w:tcPr>
          <w:p w14:paraId="1E2D14BA" w14:textId="77777777" w:rsidR="00031F4D" w:rsidRPr="00031F4D" w:rsidRDefault="00031F4D" w:rsidP="00031F4D">
            <w:pPr>
              <w:rPr>
                <w:rFonts w:asciiTheme="majorHAnsi" w:hAnsiTheme="majorHAnsi" w:cstheme="majorHAnsi"/>
                <w:b/>
                <w:bCs/>
                <w:color w:val="0191AC"/>
              </w:rPr>
            </w:pPr>
          </w:p>
        </w:tc>
        <w:tc>
          <w:tcPr>
            <w:tcW w:w="6029" w:type="dxa"/>
          </w:tcPr>
          <w:p w14:paraId="4280D4CC" w14:textId="3154396E" w:rsidR="00031F4D" w:rsidRPr="00031F4D" w:rsidRDefault="00031F4D" w:rsidP="00031F4D">
            <w:pPr>
              <w:spacing w:after="0" w:line="240" w:lineRule="auto"/>
              <w:ind w:left="437" w:hanging="437"/>
              <w:rPr>
                <w:rFonts w:asciiTheme="majorHAnsi" w:hAnsiTheme="majorHAnsi" w:cstheme="majorHAnsi"/>
                <w:color w:val="00A3C9"/>
              </w:rPr>
            </w:pPr>
            <w:r w:rsidRPr="00031F4D">
              <w:rPr>
                <w:rFonts w:asciiTheme="majorHAnsi" w:hAnsiTheme="majorHAnsi" w:cstheme="majorHAnsi"/>
                <w:color w:val="00A3C9"/>
              </w:rPr>
              <w:t xml:space="preserve">5.3   The institution ensures that the technical, </w:t>
            </w:r>
            <w:proofErr w:type="gramStart"/>
            <w:r w:rsidRPr="00031F4D">
              <w:rPr>
                <w:rFonts w:asciiTheme="majorHAnsi" w:hAnsiTheme="majorHAnsi" w:cstheme="majorHAnsi"/>
                <w:color w:val="00A3C9"/>
              </w:rPr>
              <w:t>digital</w:t>
            </w:r>
            <w:proofErr w:type="gramEnd"/>
            <w:r w:rsidRPr="00031F4D">
              <w:rPr>
                <w:rFonts w:asciiTheme="majorHAnsi" w:hAnsiTheme="majorHAnsi" w:cstheme="majorHAnsi"/>
                <w:color w:val="00A3C9"/>
              </w:rPr>
              <w:t xml:space="preserve"> and physical infrastructure made available to students enables them to achieve the intended Learning Outcomes.</w:t>
            </w:r>
          </w:p>
        </w:tc>
      </w:tr>
      <w:tr w:rsidR="00031F4D" w:rsidRPr="00031F4D" w14:paraId="02B0766E" w14:textId="77777777" w:rsidTr="00AA25F7">
        <w:tc>
          <w:tcPr>
            <w:tcW w:w="2967" w:type="dxa"/>
            <w:vMerge/>
          </w:tcPr>
          <w:p w14:paraId="6D74D893" w14:textId="77777777" w:rsidR="00031F4D" w:rsidRPr="00031F4D" w:rsidRDefault="00031F4D" w:rsidP="00031F4D">
            <w:pPr>
              <w:rPr>
                <w:rFonts w:asciiTheme="majorHAnsi" w:hAnsiTheme="majorHAnsi" w:cstheme="majorHAnsi"/>
                <w:b/>
                <w:bCs/>
                <w:color w:val="0191AC"/>
              </w:rPr>
            </w:pPr>
          </w:p>
        </w:tc>
        <w:tc>
          <w:tcPr>
            <w:tcW w:w="6029" w:type="dxa"/>
          </w:tcPr>
          <w:p w14:paraId="36A568C1" w14:textId="3DB5E285" w:rsidR="00031F4D" w:rsidRPr="00031F4D" w:rsidRDefault="00031F4D" w:rsidP="00031F4D">
            <w:pPr>
              <w:spacing w:after="0" w:line="240" w:lineRule="auto"/>
              <w:ind w:left="437" w:hanging="437"/>
              <w:rPr>
                <w:rFonts w:asciiTheme="majorHAnsi" w:hAnsiTheme="majorHAnsi" w:cstheme="majorHAnsi"/>
                <w:color w:val="00A3C9"/>
              </w:rPr>
            </w:pPr>
            <w:r w:rsidRPr="00031F4D">
              <w:rPr>
                <w:rFonts w:asciiTheme="majorHAnsi" w:hAnsiTheme="majorHAnsi" w:cstheme="majorHAnsi"/>
                <w:color w:val="00A3C9"/>
              </w:rPr>
              <w:t>5.4    An appropriate range of study, research and individual well-being support &amp; guidance is readily accessible to all students.</w:t>
            </w:r>
          </w:p>
        </w:tc>
      </w:tr>
      <w:tr w:rsidR="00F27DEE" w:rsidRPr="00031F4D" w14:paraId="370858B3" w14:textId="77777777" w:rsidTr="00AA25F7">
        <w:tc>
          <w:tcPr>
            <w:tcW w:w="2967" w:type="dxa"/>
            <w:vMerge w:val="restart"/>
          </w:tcPr>
          <w:p w14:paraId="251578F0" w14:textId="77777777" w:rsidR="00B32343" w:rsidRPr="00763226" w:rsidRDefault="00B32343" w:rsidP="00B32343">
            <w:pPr>
              <w:spacing w:after="0" w:line="240" w:lineRule="auto"/>
              <w:rPr>
                <w:rFonts w:asciiTheme="majorHAnsi" w:hAnsiTheme="majorHAnsi"/>
                <w:b/>
                <w:bCs/>
                <w:color w:val="0191AC"/>
                <w:sz w:val="20"/>
                <w:szCs w:val="20"/>
                <w:lang w:val="en-GB"/>
              </w:rPr>
            </w:pPr>
            <w:r w:rsidRPr="00763226">
              <w:rPr>
                <w:rFonts w:asciiTheme="majorHAnsi" w:hAnsiTheme="majorHAnsi"/>
                <w:b/>
                <w:bCs/>
                <w:color w:val="0191AC"/>
                <w:sz w:val="20"/>
                <w:szCs w:val="20"/>
                <w:lang w:val="en-GB"/>
              </w:rPr>
              <w:t xml:space="preserve">6. </w:t>
            </w:r>
            <w:r>
              <w:rPr>
                <w:rFonts w:asciiTheme="majorHAnsi" w:hAnsiTheme="majorHAnsi"/>
                <w:b/>
                <w:bCs/>
                <w:color w:val="0191AC"/>
                <w:sz w:val="20"/>
                <w:szCs w:val="20"/>
                <w:lang w:val="en-GB"/>
              </w:rPr>
              <w:t xml:space="preserve">Communication and Information Management </w:t>
            </w:r>
          </w:p>
          <w:p w14:paraId="43CD57F1" w14:textId="77777777" w:rsidR="00B32343" w:rsidRPr="00763226" w:rsidRDefault="00B32343" w:rsidP="00B32343">
            <w:pPr>
              <w:spacing w:after="0" w:line="240" w:lineRule="auto"/>
              <w:rPr>
                <w:b/>
                <w:color w:val="0191AC"/>
                <w:sz w:val="10"/>
                <w:szCs w:val="10"/>
                <w:lang w:val="en-GB"/>
              </w:rPr>
            </w:pPr>
          </w:p>
          <w:p w14:paraId="46BC03EC" w14:textId="44A3364B" w:rsidR="00F27DEE" w:rsidRPr="00B32343" w:rsidRDefault="00B32343" w:rsidP="00B32343">
            <w:pPr>
              <w:pStyle w:val="ListParagraph"/>
              <w:spacing w:after="0" w:line="240" w:lineRule="auto"/>
              <w:ind w:left="158"/>
              <w:rPr>
                <w:rFonts w:cstheme="minorHAnsi"/>
                <w:color w:val="88B9C6"/>
                <w:sz w:val="20"/>
                <w:szCs w:val="20"/>
                <w:lang w:val="en-GB"/>
              </w:rPr>
            </w:pPr>
            <w:r w:rsidRPr="00C952BE">
              <w:rPr>
                <w:rFonts w:cstheme="minorHAnsi"/>
                <w:color w:val="88B9C6"/>
                <w:sz w:val="20"/>
                <w:szCs w:val="20"/>
                <w:lang w:val="en-GB"/>
              </w:rPr>
              <w:t xml:space="preserve">The institution </w:t>
            </w:r>
            <w:r>
              <w:rPr>
                <w:rFonts w:cstheme="minorHAnsi"/>
                <w:color w:val="88B9C6"/>
                <w:sz w:val="20"/>
                <w:szCs w:val="20"/>
                <w:lang w:val="en-GB"/>
              </w:rPr>
              <w:t>collects</w:t>
            </w:r>
            <w:r w:rsidRPr="00C952BE">
              <w:rPr>
                <w:rFonts w:cstheme="minorHAnsi"/>
                <w:color w:val="88B9C6"/>
                <w:sz w:val="20"/>
                <w:szCs w:val="20"/>
                <w:lang w:val="en-GB"/>
              </w:rPr>
              <w:t xml:space="preserve">, analyses and uses relevant information </w:t>
            </w:r>
            <w:r>
              <w:rPr>
                <w:rFonts w:cstheme="minorHAnsi"/>
                <w:color w:val="88B9C6"/>
                <w:sz w:val="20"/>
                <w:szCs w:val="20"/>
                <w:lang w:val="en-GB"/>
              </w:rPr>
              <w:t>to support the</w:t>
            </w:r>
            <w:r w:rsidRPr="00C952BE">
              <w:rPr>
                <w:rFonts w:cstheme="minorHAnsi"/>
                <w:color w:val="88B9C6"/>
                <w:sz w:val="20"/>
                <w:szCs w:val="20"/>
                <w:lang w:val="en-GB"/>
              </w:rPr>
              <w:t xml:space="preserve"> effective management of its </w:t>
            </w:r>
            <w:r>
              <w:rPr>
                <w:rFonts w:cstheme="minorHAnsi"/>
                <w:color w:val="88B9C6"/>
                <w:sz w:val="20"/>
                <w:szCs w:val="20"/>
                <w:lang w:val="en-GB"/>
              </w:rPr>
              <w:t>provision</w:t>
            </w:r>
            <w:r w:rsidRPr="00C952BE">
              <w:rPr>
                <w:rFonts w:cstheme="minorHAnsi"/>
                <w:color w:val="88B9C6"/>
                <w:sz w:val="20"/>
                <w:szCs w:val="20"/>
                <w:lang w:val="en-GB"/>
              </w:rPr>
              <w:t>, an</w:t>
            </w:r>
            <w:r>
              <w:rPr>
                <w:rFonts w:cstheme="minorHAnsi"/>
                <w:color w:val="88B9C6"/>
                <w:sz w:val="20"/>
                <w:szCs w:val="20"/>
                <w:lang w:val="en-GB"/>
              </w:rPr>
              <w:t xml:space="preserve">d </w:t>
            </w:r>
            <w:r w:rsidRPr="00C952BE">
              <w:rPr>
                <w:rFonts w:cstheme="minorHAnsi"/>
                <w:color w:val="88B9C6"/>
                <w:sz w:val="20"/>
                <w:szCs w:val="20"/>
                <w:lang w:val="en-GB"/>
              </w:rPr>
              <w:t>effectively manages and facilitates communication amongst internal and external stakeholders, and publish</w:t>
            </w:r>
            <w:r w:rsidR="00D26299">
              <w:rPr>
                <w:rFonts w:cstheme="minorHAnsi"/>
                <w:color w:val="88B9C6"/>
                <w:sz w:val="20"/>
                <w:szCs w:val="20"/>
                <w:lang w:val="en-GB"/>
              </w:rPr>
              <w:t>es</w:t>
            </w:r>
            <w:r w:rsidRPr="00C952BE">
              <w:rPr>
                <w:rFonts w:cstheme="minorHAnsi"/>
                <w:color w:val="88B9C6"/>
                <w:sz w:val="20"/>
                <w:szCs w:val="20"/>
                <w:lang w:val="en-GB"/>
              </w:rPr>
              <w:t xml:space="preserve"> information that is clear, </w:t>
            </w:r>
            <w:r w:rsidRPr="00C952BE">
              <w:rPr>
                <w:rFonts w:cstheme="minorHAnsi"/>
                <w:color w:val="88B9C6"/>
                <w:sz w:val="20"/>
                <w:szCs w:val="20"/>
                <w:lang w:val="en-GB"/>
              </w:rPr>
              <w:lastRenderedPageBreak/>
              <w:t>accurate, consistent and readily available.</w:t>
            </w:r>
          </w:p>
        </w:tc>
        <w:tc>
          <w:tcPr>
            <w:tcW w:w="6029" w:type="dxa"/>
          </w:tcPr>
          <w:p w14:paraId="53ED0677" w14:textId="77777777" w:rsidR="00F27DEE" w:rsidRPr="00763226" w:rsidRDefault="00F27DEE" w:rsidP="00F27DEE">
            <w:pPr>
              <w:spacing w:after="0" w:line="240" w:lineRule="auto"/>
              <w:rPr>
                <w:rFonts w:asciiTheme="majorHAnsi" w:hAnsiTheme="majorHAnsi" w:cstheme="majorHAnsi"/>
                <w:color w:val="00A3C9"/>
                <w:sz w:val="20"/>
                <w:szCs w:val="20"/>
                <w:lang w:val="en-GB"/>
              </w:rPr>
            </w:pPr>
          </w:p>
          <w:p w14:paraId="35EF43C9" w14:textId="4DCBAE8D" w:rsidR="00F27DEE" w:rsidRPr="00031F4D" w:rsidRDefault="00B32343" w:rsidP="00F27DEE">
            <w:pPr>
              <w:spacing w:after="0" w:line="240" w:lineRule="auto"/>
              <w:ind w:left="437" w:hanging="437"/>
              <w:rPr>
                <w:rFonts w:asciiTheme="majorHAnsi" w:hAnsiTheme="majorHAnsi" w:cstheme="majorHAnsi"/>
                <w:color w:val="00A3C9"/>
              </w:rPr>
            </w:pPr>
            <w:r w:rsidRPr="00763226">
              <w:rPr>
                <w:rFonts w:asciiTheme="majorHAnsi" w:hAnsiTheme="majorHAnsi" w:cstheme="majorHAnsi"/>
                <w:color w:val="00A3C9"/>
                <w:sz w:val="20"/>
                <w:szCs w:val="20"/>
                <w:lang w:val="en-GB"/>
              </w:rPr>
              <w:t xml:space="preserve">6.1    The institution collects, analyses and uses relevant information to </w:t>
            </w:r>
            <w:r>
              <w:rPr>
                <w:rFonts w:asciiTheme="majorHAnsi" w:hAnsiTheme="majorHAnsi" w:cstheme="majorHAnsi"/>
                <w:color w:val="00A3C9"/>
                <w:sz w:val="20"/>
                <w:szCs w:val="20"/>
                <w:lang w:val="en-GB"/>
              </w:rPr>
              <w:t>support</w:t>
            </w:r>
            <w:r w:rsidRPr="00763226">
              <w:rPr>
                <w:rFonts w:asciiTheme="majorHAnsi" w:hAnsiTheme="majorHAnsi" w:cstheme="majorHAnsi"/>
                <w:color w:val="00A3C9"/>
                <w:sz w:val="20"/>
                <w:szCs w:val="20"/>
                <w:lang w:val="en-GB"/>
              </w:rPr>
              <w:t xml:space="preserve"> the effective management of its programmes and other activities.</w:t>
            </w:r>
          </w:p>
        </w:tc>
      </w:tr>
      <w:tr w:rsidR="00F27DEE" w:rsidRPr="00031F4D" w14:paraId="0F3BA2D4" w14:textId="77777777" w:rsidTr="00AA25F7">
        <w:tc>
          <w:tcPr>
            <w:tcW w:w="2967" w:type="dxa"/>
            <w:vMerge/>
          </w:tcPr>
          <w:p w14:paraId="563FAD55" w14:textId="77777777" w:rsidR="00F27DEE" w:rsidRPr="00031F4D" w:rsidRDefault="00F27DEE" w:rsidP="00F27DEE">
            <w:pPr>
              <w:rPr>
                <w:rFonts w:asciiTheme="majorHAnsi" w:hAnsiTheme="majorHAnsi" w:cstheme="majorHAnsi"/>
                <w:b/>
                <w:bCs/>
                <w:color w:val="0191AC"/>
              </w:rPr>
            </w:pPr>
          </w:p>
        </w:tc>
        <w:tc>
          <w:tcPr>
            <w:tcW w:w="6029" w:type="dxa"/>
          </w:tcPr>
          <w:p w14:paraId="63E97BB4" w14:textId="635183B2" w:rsidR="00F27DEE" w:rsidRPr="00031F4D" w:rsidRDefault="00F27DEE" w:rsidP="00F27DEE">
            <w:pPr>
              <w:spacing w:after="0" w:line="240" w:lineRule="auto"/>
              <w:ind w:left="437" w:hanging="437"/>
              <w:rPr>
                <w:rFonts w:asciiTheme="majorHAnsi" w:hAnsiTheme="majorHAnsi" w:cstheme="majorHAnsi"/>
                <w:color w:val="00A3C9"/>
              </w:rPr>
            </w:pPr>
            <w:r w:rsidRPr="00763226">
              <w:rPr>
                <w:rFonts w:asciiTheme="majorHAnsi" w:hAnsiTheme="majorHAnsi" w:cstheme="majorHAnsi"/>
                <w:color w:val="00A3C9"/>
                <w:sz w:val="20"/>
                <w:szCs w:val="20"/>
                <w:lang w:val="en-GB"/>
              </w:rPr>
              <w:t>6.2    The institution’s internal communication systems are accessible to all students and staff and enable vertical and horizontal interaction between all its internal stakeholders.</w:t>
            </w:r>
          </w:p>
        </w:tc>
      </w:tr>
      <w:tr w:rsidR="00F27DEE" w:rsidRPr="00031F4D" w14:paraId="556226F4" w14:textId="77777777" w:rsidTr="00F27DEE">
        <w:trPr>
          <w:trHeight w:val="631"/>
        </w:trPr>
        <w:tc>
          <w:tcPr>
            <w:tcW w:w="2967" w:type="dxa"/>
            <w:vMerge/>
          </w:tcPr>
          <w:p w14:paraId="7DE24AD8" w14:textId="77777777" w:rsidR="00F27DEE" w:rsidRPr="00031F4D" w:rsidRDefault="00F27DEE" w:rsidP="00F27DEE">
            <w:pPr>
              <w:rPr>
                <w:rFonts w:asciiTheme="majorHAnsi" w:hAnsiTheme="majorHAnsi" w:cstheme="majorHAnsi"/>
                <w:b/>
                <w:bCs/>
                <w:color w:val="0191AC"/>
              </w:rPr>
            </w:pPr>
          </w:p>
        </w:tc>
        <w:tc>
          <w:tcPr>
            <w:tcW w:w="6029" w:type="dxa"/>
          </w:tcPr>
          <w:p w14:paraId="6D5E4AA2" w14:textId="3EFF2E0A" w:rsidR="00F27DEE" w:rsidRPr="00031F4D" w:rsidRDefault="00F27DEE" w:rsidP="00F27DEE">
            <w:pPr>
              <w:spacing w:after="0" w:line="240" w:lineRule="auto"/>
              <w:ind w:left="437" w:hanging="437"/>
              <w:rPr>
                <w:rFonts w:asciiTheme="majorHAnsi" w:hAnsiTheme="majorHAnsi" w:cstheme="majorHAnsi"/>
                <w:color w:val="00A3C9"/>
              </w:rPr>
            </w:pPr>
            <w:r w:rsidRPr="00C952BE">
              <w:rPr>
                <w:rFonts w:asciiTheme="majorHAnsi" w:hAnsiTheme="majorHAnsi" w:cstheme="majorHAnsi"/>
                <w:color w:val="00A3C9"/>
                <w:sz w:val="20"/>
                <w:szCs w:val="20"/>
                <w:lang w:val="en-GB"/>
              </w:rPr>
              <w:t>6.3    The institution’s approach to external communication, welcomes and facilitates communication from and with external stakeholders.</w:t>
            </w:r>
          </w:p>
        </w:tc>
      </w:tr>
      <w:tr w:rsidR="00F27DEE" w:rsidRPr="00031F4D" w14:paraId="06BA697F" w14:textId="77777777" w:rsidTr="00AA25F7">
        <w:trPr>
          <w:trHeight w:val="631"/>
        </w:trPr>
        <w:tc>
          <w:tcPr>
            <w:tcW w:w="2967" w:type="dxa"/>
            <w:vMerge/>
          </w:tcPr>
          <w:p w14:paraId="4111CF43" w14:textId="77777777" w:rsidR="00F27DEE" w:rsidRPr="00031F4D" w:rsidRDefault="00F27DEE" w:rsidP="00F27DEE">
            <w:pPr>
              <w:rPr>
                <w:rFonts w:asciiTheme="majorHAnsi" w:hAnsiTheme="majorHAnsi" w:cstheme="majorHAnsi"/>
                <w:b/>
                <w:bCs/>
                <w:color w:val="0191AC"/>
              </w:rPr>
            </w:pPr>
          </w:p>
        </w:tc>
        <w:tc>
          <w:tcPr>
            <w:tcW w:w="6029" w:type="dxa"/>
          </w:tcPr>
          <w:p w14:paraId="63491BBF" w14:textId="5E9615D7" w:rsidR="00F27DEE" w:rsidRPr="00031F4D" w:rsidRDefault="00F27DEE" w:rsidP="00F27DEE">
            <w:pPr>
              <w:spacing w:after="0" w:line="240" w:lineRule="auto"/>
              <w:ind w:left="437" w:hanging="437"/>
              <w:rPr>
                <w:rFonts w:asciiTheme="majorHAnsi" w:hAnsiTheme="majorHAnsi" w:cstheme="majorHAnsi"/>
                <w:color w:val="00A3C9"/>
              </w:rPr>
            </w:pPr>
            <w:r w:rsidRPr="00C952BE">
              <w:rPr>
                <w:rFonts w:asciiTheme="majorHAnsi" w:hAnsiTheme="majorHAnsi" w:cstheme="majorHAnsi"/>
                <w:color w:val="00A3C9"/>
                <w:sz w:val="20"/>
                <w:szCs w:val="20"/>
                <w:lang w:val="en-GB"/>
              </w:rPr>
              <w:t xml:space="preserve">6.4    The internal and external communication systems ensure that information published by the institution is clear, accurate, </w:t>
            </w:r>
            <w:proofErr w:type="gramStart"/>
            <w:r w:rsidRPr="00C952BE">
              <w:rPr>
                <w:rFonts w:asciiTheme="majorHAnsi" w:hAnsiTheme="majorHAnsi" w:cstheme="majorHAnsi"/>
                <w:color w:val="00A3C9"/>
                <w:sz w:val="20"/>
                <w:szCs w:val="20"/>
                <w:lang w:val="en-GB"/>
              </w:rPr>
              <w:t>consistent</w:t>
            </w:r>
            <w:proofErr w:type="gramEnd"/>
            <w:r w:rsidRPr="00C952BE">
              <w:rPr>
                <w:rFonts w:asciiTheme="majorHAnsi" w:hAnsiTheme="majorHAnsi" w:cstheme="majorHAnsi"/>
                <w:color w:val="00A3C9"/>
                <w:sz w:val="20"/>
                <w:szCs w:val="20"/>
                <w:lang w:val="en-GB"/>
              </w:rPr>
              <w:t xml:space="preserve"> and readily available.</w:t>
            </w:r>
          </w:p>
        </w:tc>
      </w:tr>
      <w:tr w:rsidR="00031F4D" w:rsidRPr="00031F4D" w14:paraId="41A29D16" w14:textId="77777777" w:rsidTr="00AA25F7">
        <w:tc>
          <w:tcPr>
            <w:tcW w:w="2967" w:type="dxa"/>
            <w:vMerge w:val="restart"/>
          </w:tcPr>
          <w:p w14:paraId="605A302C" w14:textId="77777777" w:rsidR="00031F4D" w:rsidRPr="00031F4D" w:rsidRDefault="00031F4D" w:rsidP="00031F4D">
            <w:pPr>
              <w:spacing w:after="0" w:line="240" w:lineRule="auto"/>
              <w:ind w:left="171" w:hanging="171"/>
              <w:rPr>
                <w:rFonts w:asciiTheme="majorHAnsi" w:hAnsiTheme="majorHAnsi" w:cstheme="majorHAnsi"/>
                <w:b/>
                <w:bCs/>
                <w:color w:val="0191AC"/>
              </w:rPr>
            </w:pPr>
            <w:r w:rsidRPr="00031F4D">
              <w:rPr>
                <w:rFonts w:asciiTheme="majorHAnsi" w:hAnsiTheme="majorHAnsi" w:cstheme="majorHAnsi"/>
                <w:b/>
                <w:bCs/>
                <w:color w:val="0191AC"/>
              </w:rPr>
              <w:t>7. Quality Assurance Processes</w:t>
            </w:r>
          </w:p>
          <w:p w14:paraId="7EF6FB5F" w14:textId="77777777" w:rsidR="00031F4D" w:rsidRPr="00031F4D" w:rsidRDefault="00031F4D" w:rsidP="00031F4D">
            <w:pPr>
              <w:spacing w:after="0" w:line="240" w:lineRule="auto"/>
              <w:ind w:left="171" w:hanging="171"/>
              <w:rPr>
                <w:rFonts w:asciiTheme="majorHAnsi" w:hAnsiTheme="majorHAnsi" w:cstheme="majorHAnsi"/>
                <w:b/>
                <w:bCs/>
                <w:color w:val="0191AC"/>
              </w:rPr>
            </w:pPr>
          </w:p>
          <w:p w14:paraId="64166139" w14:textId="77777777" w:rsidR="00031F4D" w:rsidRPr="00031F4D" w:rsidRDefault="00031F4D" w:rsidP="00031F4D">
            <w:pPr>
              <w:pStyle w:val="ListParagraph"/>
              <w:spacing w:after="0" w:line="240" w:lineRule="auto"/>
              <w:ind w:left="171" w:hanging="171"/>
              <w:rPr>
                <w:rFonts w:asciiTheme="majorHAnsi" w:hAnsiTheme="majorHAnsi" w:cstheme="majorHAnsi"/>
                <w:color w:val="88B9C6"/>
              </w:rPr>
            </w:pPr>
            <w:r w:rsidRPr="00031F4D">
              <w:rPr>
                <w:rFonts w:asciiTheme="majorHAnsi" w:hAnsiTheme="majorHAnsi" w:cstheme="majorHAnsi"/>
                <w:color w:val="000000" w:themeColor="text1"/>
              </w:rPr>
              <w:t xml:space="preserve">   </w:t>
            </w:r>
            <w:r w:rsidRPr="00031F4D">
              <w:rPr>
                <w:rFonts w:asciiTheme="majorHAnsi" w:hAnsiTheme="majorHAnsi" w:cstheme="majorHAnsi"/>
                <w:color w:val="88B9C6"/>
              </w:rPr>
              <w:t xml:space="preserve">The institution and its </w:t>
            </w:r>
            <w:proofErr w:type="spellStart"/>
            <w:r w:rsidRPr="00031F4D">
              <w:rPr>
                <w:rFonts w:asciiTheme="majorHAnsi" w:hAnsiTheme="majorHAnsi" w:cstheme="majorHAnsi"/>
                <w:color w:val="88B9C6"/>
              </w:rPr>
              <w:t>programmes</w:t>
            </w:r>
            <w:proofErr w:type="spellEnd"/>
            <w:r w:rsidRPr="00031F4D">
              <w:rPr>
                <w:rFonts w:asciiTheme="majorHAnsi" w:hAnsiTheme="majorHAnsi" w:cstheme="majorHAnsi"/>
                <w:color w:val="88B9C6"/>
              </w:rPr>
              <w:t xml:space="preserve"> systematically engage in effective internal and external quality assurance review processes to both assure and enhance all aspects of their provision. </w:t>
            </w:r>
          </w:p>
          <w:p w14:paraId="317D5374" w14:textId="77777777" w:rsidR="00031F4D" w:rsidRPr="00031F4D" w:rsidRDefault="00031F4D" w:rsidP="00031F4D">
            <w:pPr>
              <w:rPr>
                <w:rFonts w:asciiTheme="majorHAnsi" w:hAnsiTheme="majorHAnsi" w:cstheme="majorHAnsi"/>
                <w:b/>
                <w:bCs/>
                <w:color w:val="0191AC"/>
              </w:rPr>
            </w:pPr>
          </w:p>
        </w:tc>
        <w:tc>
          <w:tcPr>
            <w:tcW w:w="6029" w:type="dxa"/>
          </w:tcPr>
          <w:p w14:paraId="2FF769CD" w14:textId="499CAF55" w:rsidR="00031F4D" w:rsidRPr="00031F4D" w:rsidRDefault="00031F4D" w:rsidP="00031F4D">
            <w:pPr>
              <w:spacing w:after="0" w:line="240" w:lineRule="auto"/>
              <w:ind w:left="437" w:hanging="437"/>
              <w:rPr>
                <w:rFonts w:asciiTheme="majorHAnsi" w:hAnsiTheme="majorHAnsi" w:cstheme="majorHAnsi"/>
                <w:color w:val="00A3C9"/>
              </w:rPr>
            </w:pPr>
            <w:r w:rsidRPr="00031F4D">
              <w:rPr>
                <w:rFonts w:asciiTheme="majorHAnsi" w:hAnsiTheme="majorHAnsi" w:cstheme="majorHAnsi"/>
                <w:color w:val="00A3C9"/>
              </w:rPr>
              <w:t xml:space="preserve">7.1    The institution’s Internal Quality Assurance (IQA) system effectively monitors and reviews its formal processes and each of its study </w:t>
            </w:r>
            <w:proofErr w:type="spellStart"/>
            <w:r w:rsidRPr="00031F4D">
              <w:rPr>
                <w:rFonts w:asciiTheme="majorHAnsi" w:hAnsiTheme="majorHAnsi" w:cstheme="majorHAnsi"/>
                <w:color w:val="00A3C9"/>
              </w:rPr>
              <w:t>programmes</w:t>
            </w:r>
            <w:proofErr w:type="spellEnd"/>
            <w:r w:rsidRPr="00031F4D">
              <w:rPr>
                <w:rFonts w:asciiTheme="majorHAnsi" w:hAnsiTheme="majorHAnsi" w:cstheme="majorHAnsi"/>
                <w:color w:val="00A3C9"/>
              </w:rPr>
              <w:t> on a regular basis.</w:t>
            </w:r>
          </w:p>
        </w:tc>
      </w:tr>
      <w:tr w:rsidR="00031F4D" w:rsidRPr="00031F4D" w14:paraId="122BA933" w14:textId="77777777" w:rsidTr="00AA25F7">
        <w:tc>
          <w:tcPr>
            <w:tcW w:w="2967" w:type="dxa"/>
            <w:vMerge/>
          </w:tcPr>
          <w:p w14:paraId="16713700" w14:textId="77777777" w:rsidR="00031F4D" w:rsidRPr="00031F4D" w:rsidRDefault="00031F4D" w:rsidP="00031F4D">
            <w:pPr>
              <w:rPr>
                <w:rFonts w:asciiTheme="majorHAnsi" w:hAnsiTheme="majorHAnsi" w:cstheme="majorHAnsi"/>
                <w:b/>
                <w:bCs/>
                <w:color w:val="0191AC"/>
              </w:rPr>
            </w:pPr>
          </w:p>
        </w:tc>
        <w:tc>
          <w:tcPr>
            <w:tcW w:w="6029" w:type="dxa"/>
          </w:tcPr>
          <w:p w14:paraId="1057C4F5" w14:textId="1AFF31BD" w:rsidR="00031F4D" w:rsidRPr="00031F4D" w:rsidRDefault="00031F4D" w:rsidP="00031F4D">
            <w:pPr>
              <w:spacing w:after="0" w:line="240" w:lineRule="auto"/>
              <w:ind w:left="437" w:hanging="437"/>
              <w:rPr>
                <w:rFonts w:asciiTheme="majorHAnsi" w:hAnsiTheme="majorHAnsi" w:cstheme="majorHAnsi"/>
                <w:color w:val="00A3C9"/>
              </w:rPr>
            </w:pPr>
            <w:r w:rsidRPr="00031F4D">
              <w:rPr>
                <w:rFonts w:asciiTheme="majorHAnsi" w:hAnsiTheme="majorHAnsi" w:cstheme="majorHAnsi"/>
                <w:color w:val="00A3C9"/>
              </w:rPr>
              <w:t xml:space="preserve">7.2    The institution and its </w:t>
            </w:r>
            <w:proofErr w:type="spellStart"/>
            <w:r w:rsidRPr="00031F4D">
              <w:rPr>
                <w:rFonts w:asciiTheme="majorHAnsi" w:hAnsiTheme="majorHAnsi" w:cstheme="majorHAnsi"/>
                <w:color w:val="00A3C9"/>
              </w:rPr>
              <w:t>programmes</w:t>
            </w:r>
            <w:proofErr w:type="spellEnd"/>
            <w:r w:rsidRPr="00031F4D">
              <w:rPr>
                <w:rFonts w:asciiTheme="majorHAnsi" w:hAnsiTheme="majorHAnsi" w:cstheme="majorHAnsi"/>
                <w:color w:val="00A3C9"/>
              </w:rPr>
              <w:t xml:space="preserve"> are subject to External Quality Assurance (EQA) on a regular basis.</w:t>
            </w:r>
          </w:p>
        </w:tc>
      </w:tr>
      <w:tr w:rsidR="00031F4D" w:rsidRPr="00031F4D" w14:paraId="7FD938FF" w14:textId="77777777" w:rsidTr="00AA25F7">
        <w:tc>
          <w:tcPr>
            <w:tcW w:w="2967" w:type="dxa"/>
            <w:vMerge/>
          </w:tcPr>
          <w:p w14:paraId="3006B3DD" w14:textId="77777777" w:rsidR="00031F4D" w:rsidRPr="00031F4D" w:rsidRDefault="00031F4D" w:rsidP="00031F4D">
            <w:pPr>
              <w:rPr>
                <w:rFonts w:asciiTheme="majorHAnsi" w:hAnsiTheme="majorHAnsi" w:cstheme="majorHAnsi"/>
                <w:b/>
                <w:bCs/>
                <w:color w:val="0191AC"/>
              </w:rPr>
            </w:pPr>
          </w:p>
        </w:tc>
        <w:tc>
          <w:tcPr>
            <w:tcW w:w="6029" w:type="dxa"/>
          </w:tcPr>
          <w:p w14:paraId="0C2EF0D1" w14:textId="4B23DBAD" w:rsidR="00031F4D" w:rsidRPr="00031F4D" w:rsidRDefault="00031F4D" w:rsidP="00031F4D">
            <w:pPr>
              <w:spacing w:after="0" w:line="240" w:lineRule="auto"/>
              <w:ind w:left="437" w:hanging="437"/>
              <w:rPr>
                <w:rFonts w:asciiTheme="majorHAnsi" w:hAnsiTheme="majorHAnsi" w:cstheme="majorHAnsi"/>
                <w:color w:val="00A3C9"/>
              </w:rPr>
            </w:pPr>
            <w:r w:rsidRPr="00031F4D">
              <w:rPr>
                <w:rFonts w:asciiTheme="majorHAnsi" w:hAnsiTheme="majorHAnsi" w:cstheme="majorHAnsi"/>
                <w:color w:val="00A3C9"/>
              </w:rPr>
              <w:t>7.3   The institution involves the participation of internal and external peers/experts and stakeholders in its IQA and EQA processes.</w:t>
            </w:r>
          </w:p>
        </w:tc>
      </w:tr>
      <w:tr w:rsidR="00031F4D" w:rsidRPr="00031F4D" w14:paraId="7D57C857" w14:textId="77777777" w:rsidTr="00AA25F7">
        <w:tc>
          <w:tcPr>
            <w:tcW w:w="2967" w:type="dxa"/>
            <w:vMerge/>
          </w:tcPr>
          <w:p w14:paraId="4B6C7BE2" w14:textId="77777777" w:rsidR="00031F4D" w:rsidRPr="00031F4D" w:rsidRDefault="00031F4D" w:rsidP="00031F4D">
            <w:pPr>
              <w:rPr>
                <w:rFonts w:asciiTheme="majorHAnsi" w:hAnsiTheme="majorHAnsi" w:cstheme="majorHAnsi"/>
                <w:b/>
                <w:bCs/>
                <w:color w:val="0191AC"/>
              </w:rPr>
            </w:pPr>
          </w:p>
        </w:tc>
        <w:tc>
          <w:tcPr>
            <w:tcW w:w="6029" w:type="dxa"/>
          </w:tcPr>
          <w:p w14:paraId="1BD96080" w14:textId="39AF68A5" w:rsidR="00031F4D" w:rsidRPr="00031F4D" w:rsidRDefault="00031F4D" w:rsidP="00031F4D">
            <w:pPr>
              <w:spacing w:after="0" w:line="240" w:lineRule="auto"/>
              <w:ind w:left="437" w:hanging="437"/>
              <w:rPr>
                <w:rFonts w:asciiTheme="majorHAnsi" w:hAnsiTheme="majorHAnsi" w:cstheme="majorHAnsi"/>
                <w:color w:val="00A3C9"/>
              </w:rPr>
            </w:pPr>
            <w:r w:rsidRPr="00031F4D">
              <w:rPr>
                <w:rFonts w:asciiTheme="majorHAnsi" w:hAnsiTheme="majorHAnsi" w:cstheme="majorHAnsi"/>
                <w:color w:val="00A3C9"/>
              </w:rPr>
              <w:t>7.4    The institution’s IQA system, and its cycles, are designed to ensure that its outcomes both assure and enhance its provision.</w:t>
            </w:r>
          </w:p>
        </w:tc>
      </w:tr>
    </w:tbl>
    <w:p w14:paraId="54BC8336" w14:textId="77777777" w:rsidR="00733390" w:rsidRPr="00031F4D" w:rsidRDefault="00733390" w:rsidP="00733390">
      <w:pPr>
        <w:rPr>
          <w:rFonts w:asciiTheme="majorHAnsi" w:hAnsiTheme="majorHAnsi" w:cstheme="majorHAnsi"/>
        </w:rPr>
      </w:pPr>
    </w:p>
    <w:p w14:paraId="6C0799B0" w14:textId="77777777" w:rsidR="00DF6359" w:rsidRPr="00031F4D" w:rsidRDefault="00DF6359">
      <w:pPr>
        <w:rPr>
          <w:rFonts w:asciiTheme="majorHAnsi" w:hAnsiTheme="majorHAnsi" w:cstheme="majorHAnsi"/>
        </w:rPr>
      </w:pPr>
    </w:p>
    <w:sectPr w:rsidR="00DF6359" w:rsidRPr="00031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4686F"/>
    <w:multiLevelType w:val="hybridMultilevel"/>
    <w:tmpl w:val="4A564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7D7EB0"/>
    <w:multiLevelType w:val="multilevel"/>
    <w:tmpl w:val="194E1CA6"/>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4EB5952"/>
    <w:multiLevelType w:val="multilevel"/>
    <w:tmpl w:val="CA28E8FC"/>
    <w:lvl w:ilvl="0">
      <w:start w:val="1"/>
      <w:numFmt w:val="decimal"/>
      <w:lvlText w:val="%1"/>
      <w:lvlJc w:val="left"/>
      <w:pPr>
        <w:ind w:left="360" w:hanging="360"/>
      </w:pPr>
      <w:rPr>
        <w:rFonts w:hint="default"/>
        <w:color w:val="0191AC"/>
      </w:rPr>
    </w:lvl>
    <w:lvl w:ilvl="1">
      <w:start w:val="1"/>
      <w:numFmt w:val="decimal"/>
      <w:lvlText w:val="%1.%2"/>
      <w:lvlJc w:val="left"/>
      <w:pPr>
        <w:ind w:left="360" w:hanging="360"/>
      </w:pPr>
      <w:rPr>
        <w:rFonts w:hint="default"/>
        <w:color w:val="0191AC"/>
      </w:rPr>
    </w:lvl>
    <w:lvl w:ilvl="2">
      <w:start w:val="1"/>
      <w:numFmt w:val="decimal"/>
      <w:lvlText w:val="%1.%2.%3"/>
      <w:lvlJc w:val="left"/>
      <w:pPr>
        <w:ind w:left="720" w:hanging="720"/>
      </w:pPr>
      <w:rPr>
        <w:rFonts w:hint="default"/>
        <w:color w:val="0191AC"/>
      </w:rPr>
    </w:lvl>
    <w:lvl w:ilvl="3">
      <w:start w:val="1"/>
      <w:numFmt w:val="decimal"/>
      <w:lvlText w:val="%1.%2.%3.%4"/>
      <w:lvlJc w:val="left"/>
      <w:pPr>
        <w:ind w:left="720" w:hanging="720"/>
      </w:pPr>
      <w:rPr>
        <w:rFonts w:hint="default"/>
        <w:color w:val="0191AC"/>
      </w:rPr>
    </w:lvl>
    <w:lvl w:ilvl="4">
      <w:start w:val="1"/>
      <w:numFmt w:val="decimal"/>
      <w:lvlText w:val="%1.%2.%3.%4.%5"/>
      <w:lvlJc w:val="left"/>
      <w:pPr>
        <w:ind w:left="1080" w:hanging="1080"/>
      </w:pPr>
      <w:rPr>
        <w:rFonts w:hint="default"/>
        <w:color w:val="0191AC"/>
      </w:rPr>
    </w:lvl>
    <w:lvl w:ilvl="5">
      <w:start w:val="1"/>
      <w:numFmt w:val="decimal"/>
      <w:lvlText w:val="%1.%2.%3.%4.%5.%6"/>
      <w:lvlJc w:val="left"/>
      <w:pPr>
        <w:ind w:left="1080" w:hanging="1080"/>
      </w:pPr>
      <w:rPr>
        <w:rFonts w:hint="default"/>
        <w:color w:val="0191AC"/>
      </w:rPr>
    </w:lvl>
    <w:lvl w:ilvl="6">
      <w:start w:val="1"/>
      <w:numFmt w:val="decimal"/>
      <w:lvlText w:val="%1.%2.%3.%4.%5.%6.%7"/>
      <w:lvlJc w:val="left"/>
      <w:pPr>
        <w:ind w:left="1440" w:hanging="1440"/>
      </w:pPr>
      <w:rPr>
        <w:rFonts w:hint="default"/>
        <w:color w:val="0191AC"/>
      </w:rPr>
    </w:lvl>
    <w:lvl w:ilvl="7">
      <w:start w:val="1"/>
      <w:numFmt w:val="decimal"/>
      <w:lvlText w:val="%1.%2.%3.%4.%5.%6.%7.%8"/>
      <w:lvlJc w:val="left"/>
      <w:pPr>
        <w:ind w:left="1440" w:hanging="1440"/>
      </w:pPr>
      <w:rPr>
        <w:rFonts w:hint="default"/>
        <w:color w:val="0191AC"/>
      </w:rPr>
    </w:lvl>
    <w:lvl w:ilvl="8">
      <w:start w:val="1"/>
      <w:numFmt w:val="decimal"/>
      <w:lvlText w:val="%1.%2.%3.%4.%5.%6.%7.%8.%9"/>
      <w:lvlJc w:val="left"/>
      <w:pPr>
        <w:ind w:left="1440" w:hanging="1440"/>
      </w:pPr>
      <w:rPr>
        <w:rFonts w:hint="default"/>
        <w:color w:val="0191AC"/>
      </w:rPr>
    </w:lvl>
  </w:abstractNum>
  <w:num w:numId="1" w16cid:durableId="157815891">
    <w:abstractNumId w:val="1"/>
  </w:num>
  <w:num w:numId="2" w16cid:durableId="1445805691">
    <w:abstractNumId w:val="0"/>
  </w:num>
  <w:num w:numId="3" w16cid:durableId="1173687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90"/>
    <w:rsid w:val="00031F4D"/>
    <w:rsid w:val="00217D4D"/>
    <w:rsid w:val="003F4AB8"/>
    <w:rsid w:val="00733390"/>
    <w:rsid w:val="008B2A84"/>
    <w:rsid w:val="00A40959"/>
    <w:rsid w:val="00AA25F7"/>
    <w:rsid w:val="00B32343"/>
    <w:rsid w:val="00B76047"/>
    <w:rsid w:val="00CC22DF"/>
    <w:rsid w:val="00D26299"/>
    <w:rsid w:val="00DF6359"/>
    <w:rsid w:val="00F27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8A0611"/>
  <w15:chartTrackingRefBased/>
  <w15:docId w15:val="{428E83D1-C64A-5A46-A6B3-298DDB8D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390"/>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 2"/>
    <w:basedOn w:val="Normal"/>
    <w:uiPriority w:val="34"/>
    <w:qFormat/>
    <w:rsid w:val="00733390"/>
    <w:pPr>
      <w:ind w:left="720"/>
      <w:contextualSpacing/>
    </w:pPr>
  </w:style>
  <w:style w:type="table" w:styleId="TableGrid">
    <w:name w:val="Table Grid"/>
    <w:basedOn w:val="TableNormal"/>
    <w:uiPriority w:val="39"/>
    <w:rsid w:val="00733390"/>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dean</dc:creator>
  <cp:keywords/>
  <dc:description/>
  <cp:lastModifiedBy>Micol Manunta</cp:lastModifiedBy>
  <cp:revision>8</cp:revision>
  <dcterms:created xsi:type="dcterms:W3CDTF">2023-09-20T15:46:00Z</dcterms:created>
  <dcterms:modified xsi:type="dcterms:W3CDTF">2023-09-29T07:49:00Z</dcterms:modified>
</cp:coreProperties>
</file>